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E4" w:rsidRPr="00113AFC" w:rsidRDefault="00A269E4" w:rsidP="00A269E4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>System kontroli dostępu działający w Służbie Ochrony Państwa oparty jest na systemie firmy „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Kantech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” pracującym pod kontrolą oprogramowania </w:t>
      </w:r>
      <w:proofErr w:type="spellStart"/>
      <w:r w:rsidRPr="00113AFC">
        <w:rPr>
          <w:rFonts w:ascii="Times New Roman" w:hAnsi="Times New Roman" w:cs="Times New Roman"/>
          <w:sz w:val="24"/>
          <w:szCs w:val="24"/>
          <w:lang w:eastAsia="pl-PL"/>
        </w:rPr>
        <w:t>EntraPass</w:t>
      </w:r>
      <w:proofErr w:type="spellEnd"/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 wersja 4.01 lub wyższej, w architekturze klient-serwer. W systemie tym stosuje się dwa rodzaje kontrolerów KT-300 oraz KT-400. </w:t>
      </w:r>
    </w:p>
    <w:p w:rsidR="00A269E4" w:rsidRPr="00113AFC" w:rsidRDefault="00A269E4" w:rsidP="00A269E4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Wobec powyższego wszystkie zaoferowane urządzenia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równoważne </w:t>
      </w: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muszą poprawnie współpracować z powyższym systemem, oprogramowaniem i kontrolerami bez możliwości stosowania: </w:t>
      </w:r>
    </w:p>
    <w:p w:rsidR="00A269E4" w:rsidRPr="00113AFC" w:rsidRDefault="00A269E4" w:rsidP="00A269E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3AFC">
        <w:rPr>
          <w:rFonts w:ascii="Times New Roman" w:hAnsi="Times New Roman" w:cs="Times New Roman"/>
          <w:sz w:val="24"/>
          <w:szCs w:val="24"/>
          <w:lang w:eastAsia="pl-PL"/>
        </w:rPr>
        <w:t xml:space="preserve">urządzeń zamiennych,  pośredniczących lub sieciowych; </w:t>
      </w:r>
    </w:p>
    <w:p w:rsidR="00A269E4" w:rsidRDefault="00A269E4" w:rsidP="00A269E4">
      <w:pPr>
        <w:ind w:firstLine="567"/>
      </w:pPr>
      <w:r w:rsidRPr="00113AFC">
        <w:t>innego oprogramowania lub stosowania wirtualizacji.</w:t>
      </w:r>
    </w:p>
    <w:p w:rsidR="00A269E4" w:rsidRDefault="00A269E4" w:rsidP="00A269E4">
      <w:pPr>
        <w:ind w:firstLine="567"/>
      </w:pPr>
    </w:p>
    <w:p w:rsidR="00A269E4" w:rsidRDefault="00A269E4" w:rsidP="00A269E4">
      <w:pPr>
        <w:ind w:firstLine="567"/>
      </w:pPr>
      <w:r w:rsidRPr="009F1C43">
        <w:t xml:space="preserve">Opis parametrów technicznych poszczególnych urządzeń systemu kontroli dostępu </w:t>
      </w:r>
      <w:r>
        <w:t xml:space="preserve">oraz </w:t>
      </w:r>
      <w:r w:rsidRPr="009F1C43">
        <w:t xml:space="preserve">urządzeń równorzędnych </w:t>
      </w:r>
      <w:r>
        <w:t>przedstawia poniższa tabela:</w:t>
      </w:r>
    </w:p>
    <w:p w:rsidR="00A269E4" w:rsidRDefault="00A269E4" w:rsidP="00A269E4">
      <w:pPr>
        <w:ind w:firstLine="567"/>
      </w:pPr>
      <w:bookmarkStart w:id="0" w:name="_GoBack"/>
      <w:bookmarkEnd w:id="0"/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489"/>
        <w:gridCol w:w="1836"/>
        <w:gridCol w:w="3515"/>
        <w:gridCol w:w="3345"/>
      </w:tblGrid>
      <w:tr w:rsidR="00A269E4" w:rsidRPr="00687C25" w:rsidTr="00D01D4F">
        <w:tc>
          <w:tcPr>
            <w:tcW w:w="489" w:type="dxa"/>
            <w:vAlign w:val="center"/>
          </w:tcPr>
          <w:p w:rsidR="00A269E4" w:rsidRPr="00687C25" w:rsidRDefault="00A269E4" w:rsidP="00D01D4F">
            <w:pPr>
              <w:pStyle w:val="Bezodstpw"/>
            </w:pPr>
            <w:r w:rsidRPr="00687C25">
              <w:t>Lp.</w:t>
            </w:r>
          </w:p>
        </w:tc>
        <w:tc>
          <w:tcPr>
            <w:tcW w:w="1836" w:type="dxa"/>
            <w:vAlign w:val="center"/>
          </w:tcPr>
          <w:p w:rsidR="00A269E4" w:rsidRPr="00687C25" w:rsidRDefault="00A269E4" w:rsidP="00D01D4F">
            <w:pPr>
              <w:pStyle w:val="Bezodstpw"/>
            </w:pPr>
            <w:r w:rsidRPr="00687C25">
              <w:t>Nazwa urządzenia</w:t>
            </w:r>
          </w:p>
        </w:tc>
        <w:tc>
          <w:tcPr>
            <w:tcW w:w="6860" w:type="dxa"/>
            <w:gridSpan w:val="2"/>
            <w:vAlign w:val="center"/>
          </w:tcPr>
          <w:p w:rsidR="00A269E4" w:rsidRPr="00687C25" w:rsidRDefault="00A269E4" w:rsidP="00D01D4F">
            <w:pPr>
              <w:pStyle w:val="Bezodstpw"/>
            </w:pPr>
            <w:r w:rsidRPr="00687C25">
              <w:t>Specyfikacja</w:t>
            </w:r>
          </w:p>
        </w:tc>
      </w:tr>
      <w:tr w:rsidR="00A269E4" w:rsidRPr="00687C25" w:rsidTr="00D01D4F">
        <w:tc>
          <w:tcPr>
            <w:tcW w:w="489" w:type="dxa"/>
            <w:vMerge w:val="restart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5</w:t>
            </w:r>
          </w:p>
        </w:tc>
        <w:tc>
          <w:tcPr>
            <w:tcW w:w="1836" w:type="dxa"/>
            <w:vMerge w:val="restart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Przycisk wyjścia KDH-EXIT1090</w:t>
            </w:r>
          </w:p>
        </w:tc>
        <w:tc>
          <w:tcPr>
            <w:tcW w:w="3515" w:type="dxa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Styki przycisku minimum:</w:t>
            </w:r>
          </w:p>
        </w:tc>
        <w:tc>
          <w:tcPr>
            <w:tcW w:w="3345" w:type="dxa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C/NC/NO</w:t>
            </w:r>
          </w:p>
        </w:tc>
      </w:tr>
      <w:tr w:rsidR="00A269E4" w:rsidRPr="00687C25" w:rsidTr="00D01D4F">
        <w:tc>
          <w:tcPr>
            <w:tcW w:w="489" w:type="dxa"/>
            <w:vMerge/>
            <w:vAlign w:val="center"/>
          </w:tcPr>
          <w:p w:rsidR="00A269E4" w:rsidRPr="00687C25" w:rsidRDefault="00A269E4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269E4" w:rsidRPr="00687C25" w:rsidRDefault="00A269E4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Typ montażu:</w:t>
            </w:r>
          </w:p>
        </w:tc>
        <w:tc>
          <w:tcPr>
            <w:tcW w:w="3345" w:type="dxa"/>
            <w:vAlign w:val="center"/>
          </w:tcPr>
          <w:p w:rsidR="00A269E4" w:rsidRPr="00687C25" w:rsidRDefault="00A269E4" w:rsidP="00D01D4F">
            <w:pPr>
              <w:pStyle w:val="Bezodstpw"/>
            </w:pPr>
            <w:proofErr w:type="spellStart"/>
            <w:r>
              <w:t>nawieszchniowy</w:t>
            </w:r>
            <w:proofErr w:type="spellEnd"/>
          </w:p>
        </w:tc>
      </w:tr>
      <w:tr w:rsidR="00A269E4" w:rsidRPr="00687C25" w:rsidTr="00D01D4F">
        <w:tc>
          <w:tcPr>
            <w:tcW w:w="489" w:type="dxa"/>
            <w:vMerge/>
            <w:vAlign w:val="center"/>
          </w:tcPr>
          <w:p w:rsidR="00A269E4" w:rsidRPr="00687C25" w:rsidRDefault="00A269E4" w:rsidP="00D01D4F">
            <w:pPr>
              <w:pStyle w:val="Bezodstpw"/>
            </w:pPr>
          </w:p>
        </w:tc>
        <w:tc>
          <w:tcPr>
            <w:tcW w:w="1836" w:type="dxa"/>
            <w:vMerge/>
            <w:vAlign w:val="center"/>
          </w:tcPr>
          <w:p w:rsidR="00A269E4" w:rsidRPr="00687C25" w:rsidRDefault="00A269E4" w:rsidP="00D01D4F">
            <w:pPr>
              <w:pStyle w:val="Bezodstpw"/>
            </w:pPr>
          </w:p>
        </w:tc>
        <w:tc>
          <w:tcPr>
            <w:tcW w:w="3515" w:type="dxa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Maksymalna wartość obciążenia:</w:t>
            </w:r>
          </w:p>
        </w:tc>
        <w:tc>
          <w:tcPr>
            <w:tcW w:w="3345" w:type="dxa"/>
            <w:vAlign w:val="center"/>
          </w:tcPr>
          <w:p w:rsidR="00A269E4" w:rsidRPr="00687C25" w:rsidRDefault="00A269E4" w:rsidP="00D01D4F">
            <w:pPr>
              <w:pStyle w:val="Bezodstpw"/>
            </w:pPr>
            <w:r>
              <w:t>2A/30V DC</w:t>
            </w:r>
          </w:p>
        </w:tc>
      </w:tr>
    </w:tbl>
    <w:p w:rsidR="004C53B0" w:rsidRDefault="00A269E4"/>
    <w:sectPr w:rsidR="004C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85E"/>
    <w:multiLevelType w:val="hybridMultilevel"/>
    <w:tmpl w:val="9D0E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E4"/>
    <w:rsid w:val="00A269E4"/>
    <w:rsid w:val="00CA3675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0A6D"/>
  <w15:chartTrackingRefBased/>
  <w15:docId w15:val="{C732B982-2E7B-4322-9476-717B9E7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69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2020-11-20T09:42:00Z</dcterms:created>
  <dcterms:modified xsi:type="dcterms:W3CDTF">2020-11-20T09:43:00Z</dcterms:modified>
</cp:coreProperties>
</file>