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49776001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AC0EFB">
        <w:rPr>
          <w:rFonts w:asciiTheme="minorHAnsi" w:hAnsiTheme="minorHAnsi" w:cstheme="minorHAnsi"/>
          <w:b/>
        </w:rPr>
        <w:t>35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D1783C">
        <w:rPr>
          <w:rFonts w:asciiTheme="minorHAnsi" w:hAnsiTheme="minorHAnsi" w:cstheme="minorHAnsi"/>
          <w:b/>
        </w:rPr>
        <w:t>1</w:t>
      </w:r>
    </w:p>
    <w:p w14:paraId="668B57F4" w14:textId="0EA658D7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674B39">
        <w:rPr>
          <w:rFonts w:asciiTheme="minorHAnsi" w:hAnsiTheme="minorHAnsi" w:cstheme="minorHAnsi"/>
        </w:rPr>
        <w:t>01.06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74F214FF" w14:textId="5FFCCFF4" w:rsidR="00E4035A" w:rsidRPr="00D1783C" w:rsidRDefault="00F252FE" w:rsidP="00A22511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E16FC1">
        <w:rPr>
          <w:rFonts w:asciiTheme="minorHAnsi" w:hAnsiTheme="minorHAnsi" w:cstheme="minorHAnsi"/>
          <w:b/>
          <w:spacing w:val="-6"/>
        </w:rPr>
        <w:t>„</w:t>
      </w:r>
      <w:r w:rsidR="001812F6" w:rsidRPr="001812F6">
        <w:rPr>
          <w:rFonts w:asciiTheme="minorHAnsi" w:hAnsiTheme="minorHAnsi" w:cstheme="minorHAnsi"/>
          <w:b/>
          <w:spacing w:val="-6"/>
          <w:shd w:val="clear" w:color="auto" w:fill="FFFFFF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  <w:r w:rsidR="00E16FC1" w:rsidRPr="00E16FC1">
        <w:rPr>
          <w:rFonts w:asciiTheme="minorHAnsi" w:hAnsiTheme="minorHAnsi" w:cstheme="minorHAnsi"/>
          <w:b/>
          <w:spacing w:val="-6"/>
        </w:rPr>
        <w:t>”</w:t>
      </w:r>
    </w:p>
    <w:p w14:paraId="0DB85AD2" w14:textId="77777777" w:rsidR="00F252FE" w:rsidRPr="007D4DD6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</w:p>
    <w:p w14:paraId="7480E9AD" w14:textId="1B9AF3CE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4E71DF8B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E01462" w:rsidRPr="005A0AF5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6015923B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25150E">
        <w:rPr>
          <w:rFonts w:asciiTheme="minorHAnsi" w:hAnsiTheme="minorHAnsi" w:cstheme="minorHAnsi"/>
          <w:b/>
          <w:spacing w:val="-6"/>
        </w:rPr>
        <w:t>35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E01462">
        <w:rPr>
          <w:rFonts w:asciiTheme="minorHAnsi" w:hAnsiTheme="minorHAnsi" w:cstheme="minorHAnsi"/>
          <w:b/>
          <w:spacing w:val="-6"/>
        </w:rPr>
        <w:t>1</w:t>
      </w:r>
    </w:p>
    <w:p w14:paraId="0BCA3039" w14:textId="37E0FCC6" w:rsidR="00480419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75BAC48A" w14:textId="26BE188F" w:rsidR="002B24F2" w:rsidRPr="007D4DD6" w:rsidRDefault="002B24F2" w:rsidP="00A22511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TRYB POSTĘPOWANIA </w:t>
      </w:r>
    </w:p>
    <w:p w14:paraId="1D343BBC" w14:textId="4FEBDE5B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71E968C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Pr="007D4DD6">
        <w:rPr>
          <w:rFonts w:asciiTheme="minorHAnsi" w:hAnsiTheme="minorHAnsi" w:cstheme="minorHAnsi"/>
          <w:b/>
          <w:i/>
          <w:spacing w:val="-6"/>
        </w:rPr>
        <w:t>„</w:t>
      </w:r>
      <w:r w:rsidR="00950EA5" w:rsidRPr="00950EA5">
        <w:rPr>
          <w:rFonts w:asciiTheme="minorHAnsi" w:hAnsiTheme="minorHAnsi" w:cstheme="minorHAnsi"/>
          <w:b/>
          <w:spacing w:val="-6"/>
          <w:shd w:val="clear" w:color="auto" w:fill="FFFFFF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  <w:r w:rsidR="004F1FF0" w:rsidRPr="00E16FC1">
        <w:rPr>
          <w:rFonts w:asciiTheme="minorHAnsi" w:hAnsiTheme="minorHAnsi" w:cstheme="minorHAnsi"/>
          <w:b/>
          <w:spacing w:val="-6"/>
        </w:rPr>
        <w:t>”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3A0E95B6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EE71C3" w:rsidRPr="005A0AF5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2F2D6DCF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A947A3">
        <w:rPr>
          <w:rFonts w:asciiTheme="minorHAnsi" w:hAnsiTheme="minorHAnsi" w:cstheme="minorHAnsi"/>
          <w:b/>
          <w:spacing w:val="-6"/>
        </w:rPr>
        <w:t xml:space="preserve">3 miesięcy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60865205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 xml:space="preserve">bezpośrednio do </w:t>
      </w:r>
      <w:r w:rsidR="001F2B30" w:rsidRPr="00FD4B84">
        <w:rPr>
          <w:rFonts w:asciiTheme="minorHAnsi" w:hAnsiTheme="minorHAnsi" w:cstheme="minorHAnsi"/>
        </w:rPr>
        <w:lastRenderedPageBreak/>
        <w:t>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77777777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Formularz cenowy</w:t>
      </w:r>
      <w:r w:rsidRPr="008126E5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polskim, podpisany formularz ofertowy, dokumenty należy zeskanować i dołączyć do oferty lub opatrzyć elektronicznym podpisem kwalifikowanym.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7757190" w14:textId="4C698F1A" w:rsidR="00C14C64" w:rsidRPr="000942EA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</w:t>
      </w:r>
      <w:r w:rsidRPr="00FD4B84">
        <w:rPr>
          <w:rFonts w:asciiTheme="minorHAnsi" w:hAnsiTheme="minorHAnsi" w:cstheme="minorHAnsi"/>
          <w:u w:val="single"/>
        </w:rPr>
        <w:lastRenderedPageBreak/>
        <w:t xml:space="preserve">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0D9520B4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674B39">
        <w:rPr>
          <w:rFonts w:asciiTheme="minorHAnsi" w:hAnsiTheme="minorHAnsi" w:cstheme="minorHAnsi"/>
          <w:b/>
          <w:color w:val="0070C0"/>
          <w:lang w:eastAsia="pl-PL"/>
        </w:rPr>
        <w:t>10</w:t>
      </w:r>
      <w:bookmarkStart w:id="0" w:name="_GoBack"/>
      <w:bookmarkEnd w:id="0"/>
      <w:r w:rsidR="00CD0C20">
        <w:rPr>
          <w:rFonts w:asciiTheme="minorHAnsi" w:hAnsiTheme="minorHAnsi" w:cstheme="minorHAnsi"/>
          <w:b/>
          <w:color w:val="0070C0"/>
          <w:lang w:eastAsia="pl-PL"/>
        </w:rPr>
        <w:t>.06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7777777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którego wzór stanowi Formularz 2.1.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1CE27C2B" w14:textId="6AB92B91" w:rsidR="0018718B" w:rsidRPr="0018718B" w:rsidRDefault="0018718B" w:rsidP="00A22511">
      <w:pPr>
        <w:widowControl w:val="0"/>
        <w:numPr>
          <w:ilvl w:val="1"/>
          <w:numId w:val="11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Przy dokonywaniu wyboru najkorzystniejszej oferty Zamawiający stosować będzie następujące kryteria oceny ofert:</w:t>
      </w:r>
    </w:p>
    <w:p w14:paraId="37C23EE3" w14:textId="6447E12A" w:rsidR="0018718B" w:rsidRPr="0018718B" w:rsidRDefault="0018718B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>
        <w:rPr>
          <w:rFonts w:asciiTheme="minorHAnsi" w:eastAsia="Verdana" w:hAnsiTheme="minorHAnsi" w:cstheme="minorHAnsi"/>
          <w:b/>
          <w:bCs/>
          <w:lang w:eastAsia="pl-PL"/>
        </w:rPr>
        <w:t>Cena (C)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>
        <w:rPr>
          <w:rFonts w:asciiTheme="minorHAnsi" w:eastAsia="Verdana" w:hAnsiTheme="minorHAnsi" w:cstheme="minorHAnsi"/>
          <w:b/>
          <w:bCs/>
          <w:lang w:eastAsia="pl-PL"/>
        </w:rPr>
        <w:t>60 %=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max. </w:t>
      </w:r>
      <w:r>
        <w:rPr>
          <w:rFonts w:asciiTheme="minorHAnsi" w:eastAsia="Verdana" w:hAnsiTheme="minorHAnsi" w:cstheme="minorHAnsi"/>
          <w:b/>
          <w:bCs/>
          <w:lang w:eastAsia="pl-PL"/>
        </w:rPr>
        <w:t>6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0 pkt</w:t>
      </w:r>
    </w:p>
    <w:p w14:paraId="31F35176" w14:textId="39977976" w:rsidR="0018718B" w:rsidRPr="0018718B" w:rsidRDefault="0018718B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spacing w:val="-8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Okres udzielenia gwarancji na zamontowane urządzenia zabawowe (G) - 40 % = max. 40 pkt</w:t>
      </w:r>
    </w:p>
    <w:p w14:paraId="5E88E67F" w14:textId="77777777" w:rsidR="0018718B" w:rsidRPr="0018718B" w:rsidRDefault="0018718B" w:rsidP="00A22511">
      <w:pPr>
        <w:widowControl w:val="0"/>
        <w:numPr>
          <w:ilvl w:val="0"/>
          <w:numId w:val="10"/>
        </w:numPr>
        <w:tabs>
          <w:tab w:val="left" w:pos="974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,,Cena" (C):</w:t>
      </w:r>
    </w:p>
    <w:p w14:paraId="44FF6CAE" w14:textId="77777777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Kryterium „Cena" będzie rozpatrywana na podstawie ceny brutto za wykonanie przedmiotu zamówienia, podanej przez Wykonawcę na Formularzu Oferty.</w:t>
      </w:r>
    </w:p>
    <w:p w14:paraId="15F9212F" w14:textId="5BB9637F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Zamawiający ofercie o najniżej cenie przyzna </w:t>
      </w:r>
      <w:r w:rsidR="00170DC5"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>6</w:t>
      </w:r>
      <w:r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2560"/>
        <w:gridCol w:w="740"/>
      </w:tblGrid>
      <w:tr w:rsidR="0018718B" w:rsidRPr="0018718B" w14:paraId="311110DD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6F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F290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 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4B91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B790" w14:textId="71E6B413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x </w:t>
            </w:r>
            <w:r w:rsidR="00170DC5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18718B" w:rsidRPr="0018718B" w14:paraId="7F15CDE4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A5E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816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6B8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B8A50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4C4F1801" w14:textId="77777777" w:rsidR="0018718B" w:rsidRPr="0018718B" w:rsidRDefault="0018718B" w:rsidP="00A22511">
      <w:pPr>
        <w:keepNext/>
        <w:keepLines/>
        <w:widowControl w:val="0"/>
        <w:numPr>
          <w:ilvl w:val="0"/>
          <w:numId w:val="10"/>
        </w:numPr>
        <w:tabs>
          <w:tab w:val="left" w:pos="855"/>
        </w:tabs>
        <w:suppressAutoHyphens w:val="0"/>
        <w:spacing w:line="360" w:lineRule="auto"/>
        <w:ind w:left="714" w:hanging="357"/>
        <w:jc w:val="both"/>
        <w:outlineLvl w:val="2"/>
        <w:rPr>
          <w:rFonts w:asciiTheme="minorHAnsi" w:eastAsia="Verdana" w:hAnsiTheme="minorHAnsi" w:cstheme="minorHAnsi"/>
          <w:b/>
          <w:bCs/>
          <w:lang w:eastAsia="pl-PL"/>
        </w:rPr>
      </w:pPr>
      <w:bookmarkStart w:id="1" w:name="bookmark19"/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„Okres udzielenia gwarancji na zamontowane urządzenia zabawowe " (G):</w:t>
      </w:r>
      <w:bookmarkEnd w:id="1"/>
    </w:p>
    <w:p w14:paraId="1158BBBB" w14:textId="759C5D98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W ramach kryterium „Okres udzielenia gwarancji na zamontowane urządzenia zabawowe (G)" punkty zostaną przyznane w skali punktowej </w:t>
      </w:r>
      <w:r w:rsidRPr="0018718B">
        <w:rPr>
          <w:rFonts w:asciiTheme="minorHAnsi" w:eastAsia="Verdana" w:hAnsiTheme="minorHAnsi" w:cstheme="minorHAnsi"/>
          <w:b/>
          <w:lang w:eastAsia="pl-PL"/>
        </w:rPr>
        <w:t>od 0 do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 w:rsidR="00A51D09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>4</w:t>
      </w:r>
      <w:r w:rsidRPr="0018718B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lang w:eastAsia="pl-PL"/>
        </w:rPr>
        <w:t>na podstawie okresu udzielenia gwarancji na zamontowane urządzenia zabawowe podanego przez Wykonawcę w Formularzu Oferty.</w:t>
      </w:r>
    </w:p>
    <w:p w14:paraId="1426A57D" w14:textId="77777777" w:rsidR="0018718B" w:rsidRPr="0018718B" w:rsidRDefault="0018718B" w:rsidP="00A22511">
      <w:pPr>
        <w:widowControl w:val="0"/>
        <w:suppressAutoHyphens w:val="0"/>
        <w:spacing w:line="360" w:lineRule="auto"/>
        <w:ind w:left="720"/>
        <w:jc w:val="both"/>
        <w:rPr>
          <w:rFonts w:asciiTheme="minorHAnsi" w:eastAsia="Verdana" w:hAnsiTheme="minorHAnsi" w:cstheme="minorHAnsi"/>
          <w:b/>
          <w:lang w:eastAsia="pl-PL"/>
        </w:rPr>
      </w:pPr>
      <w:r w:rsidRPr="0018718B">
        <w:rPr>
          <w:rFonts w:asciiTheme="minorHAnsi" w:eastAsia="Verdana" w:hAnsiTheme="minorHAnsi" w:cstheme="minorHAnsi"/>
          <w:b/>
          <w:lang w:eastAsia="pl-PL"/>
        </w:rPr>
        <w:t>Wykonawca może zaproponować jeden z następujących terminów gwarancji:</w:t>
      </w:r>
    </w:p>
    <w:p w14:paraId="29A77ADD" w14:textId="7025E739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5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Umowy 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najdłuższa możliwa do zaoferowania gwarancja wymagana przez Zamawiającego,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</w:p>
    <w:p w14:paraId="19212A95" w14:textId="04C3F4E1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4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 w:rsidR="0018718B" w:rsidRPr="0018718B">
        <w:rPr>
          <w:rFonts w:asciiTheme="minorHAnsi" w:eastAsia="Verdana" w:hAnsiTheme="minorHAnsi" w:cstheme="minorHAnsi"/>
          <w:lang w:eastAsia="pl-PL"/>
        </w:rPr>
        <w:t>,</w:t>
      </w:r>
    </w:p>
    <w:p w14:paraId="286B55BF" w14:textId="02E3ECAD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3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lastRenderedPageBreak/>
        <w:t>Umowy.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najkrótsza możliwa do zaoferowania gwarancja wymagana przez Zamawiającego.</w:t>
      </w:r>
    </w:p>
    <w:p w14:paraId="38C53C08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12.2. W toku badania i oceny ofert Zamawiający może żądać od wykonawców wyjaśnień dotyczących złożonych ofert.</w:t>
      </w:r>
    </w:p>
    <w:p w14:paraId="019CC8DD" w14:textId="77777777" w:rsidR="0018718B" w:rsidRPr="0018718B" w:rsidRDefault="0018718B" w:rsidP="00A22511">
      <w:pPr>
        <w:widowControl w:val="0"/>
        <w:suppressAutoHyphens w:val="0"/>
        <w:spacing w:line="360" w:lineRule="auto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12.3. </w:t>
      </w:r>
      <w:r w:rsidRPr="0018718B">
        <w:rPr>
          <w:rFonts w:asciiTheme="minorHAnsi" w:eastAsia="Verdana" w:hAnsiTheme="minorHAnsi" w:cstheme="minorHAnsi"/>
          <w:b/>
          <w:lang w:eastAsia="pl-PL"/>
        </w:rPr>
        <w:t>Zamawiający nie dopuszcza zaoferowania terminów pośrednich.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</w:p>
    <w:p w14:paraId="05310D06" w14:textId="68448E6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456"/>
      </w:tblGrid>
      <w:tr w:rsidR="0018718B" w:rsidRPr="0018718B" w14:paraId="2B8196B8" w14:textId="77777777" w:rsidTr="0036010D">
        <w:tc>
          <w:tcPr>
            <w:tcW w:w="2797" w:type="dxa"/>
            <w:shd w:val="clear" w:color="auto" w:fill="auto"/>
          </w:tcPr>
          <w:p w14:paraId="45CD4FF5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Gwarancja</w:t>
            </w:r>
          </w:p>
        </w:tc>
        <w:tc>
          <w:tcPr>
            <w:tcW w:w="1456" w:type="dxa"/>
            <w:shd w:val="clear" w:color="auto" w:fill="auto"/>
          </w:tcPr>
          <w:p w14:paraId="70814D5B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Liczba pkt.</w:t>
            </w:r>
          </w:p>
        </w:tc>
      </w:tr>
      <w:tr w:rsidR="0018718B" w:rsidRPr="0018718B" w14:paraId="5B39DBCB" w14:textId="77777777" w:rsidTr="0036010D">
        <w:tc>
          <w:tcPr>
            <w:tcW w:w="2797" w:type="dxa"/>
            <w:shd w:val="clear" w:color="auto" w:fill="auto"/>
          </w:tcPr>
          <w:p w14:paraId="257FD1A9" w14:textId="3BDBABFE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339AF871" w14:textId="77777777" w:rsidR="0018718B" w:rsidRPr="0018718B" w:rsidRDefault="0018718B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01A77245" w14:textId="77777777" w:rsidTr="0036010D">
        <w:tc>
          <w:tcPr>
            <w:tcW w:w="2797" w:type="dxa"/>
            <w:shd w:val="clear" w:color="auto" w:fill="auto"/>
          </w:tcPr>
          <w:p w14:paraId="55B1E54B" w14:textId="494A1A25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24B65354" w14:textId="78772BD8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70243F82" w14:textId="77777777" w:rsidTr="0036010D">
        <w:tc>
          <w:tcPr>
            <w:tcW w:w="2797" w:type="dxa"/>
            <w:shd w:val="clear" w:color="auto" w:fill="auto"/>
          </w:tcPr>
          <w:p w14:paraId="0FD76FC0" w14:textId="502ACD97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 </w:t>
            </w:r>
          </w:p>
        </w:tc>
        <w:tc>
          <w:tcPr>
            <w:tcW w:w="1456" w:type="dxa"/>
            <w:shd w:val="clear" w:color="auto" w:fill="auto"/>
          </w:tcPr>
          <w:p w14:paraId="56E6D272" w14:textId="387F8C52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</w:tbl>
    <w:p w14:paraId="150277B8" w14:textId="6F93531A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UWAGA!!!</w:t>
      </w:r>
    </w:p>
    <w:p w14:paraId="1AB77FC0" w14:textId="594A9F3C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Minimalny okres gwarancji wymagany przez Zamawiającego wynosi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lata.</w:t>
      </w:r>
    </w:p>
    <w:p w14:paraId="0CAC9B2E" w14:textId="047F4AD0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Zamawiający nie dopuszcza wskazania przez Wykonawcę okresu gwarancji krótszego niż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lata, ani innych niż wskazane w pkt 12.1 okresów pośrednich. </w:t>
      </w:r>
    </w:p>
    <w:p w14:paraId="3D3B35E5" w14:textId="552CAD1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W przypadku wskazania przez Wykonawcę w formularzu oferty okresu gwarancji niezgodnego z powyższymi wytycznymi Zamawiający odrzuci ofertę Wykonawcy jako niezgodną z treścią zapytania ofertowego. </w:t>
      </w:r>
    </w:p>
    <w:p w14:paraId="238F68E3" w14:textId="1EE3EA8A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12.4. </w:t>
      </w:r>
      <w:r w:rsidRPr="0018718B">
        <w:rPr>
          <w:rFonts w:asciiTheme="minorHAnsi" w:eastAsia="Verdana" w:hAnsiTheme="minorHAnsi" w:cstheme="minorHAnsi"/>
          <w:lang w:eastAsia="pl-PL"/>
        </w:rPr>
        <w:t>Jako najkorzystniejsza zostanie wybrana oferta, która otrzyma najwyższą ilość punktów (P) stanowiących sumę punktó</w:t>
      </w:r>
      <w:r w:rsidR="00A22511">
        <w:rPr>
          <w:rFonts w:asciiTheme="minorHAnsi" w:eastAsia="Verdana" w:hAnsiTheme="minorHAnsi" w:cstheme="minorHAnsi"/>
          <w:lang w:eastAsia="pl-PL"/>
        </w:rPr>
        <w:t xml:space="preserve">w przyznanych w ramach każdego </w:t>
      </w:r>
      <w:r w:rsidRPr="0018718B">
        <w:rPr>
          <w:rFonts w:asciiTheme="minorHAnsi" w:eastAsia="Verdana" w:hAnsiTheme="minorHAnsi" w:cstheme="minorHAnsi"/>
          <w:lang w:eastAsia="pl-PL"/>
        </w:rPr>
        <w:t>z podanych kryteriów, wyliczoną zgodnie z poniższym wzorem:</w:t>
      </w:r>
    </w:p>
    <w:p w14:paraId="4FB78602" w14:textId="77777777" w:rsidR="0018718B" w:rsidRPr="0018718B" w:rsidRDefault="0018718B" w:rsidP="00A22511">
      <w:pPr>
        <w:widowControl w:val="0"/>
        <w:suppressAutoHyphens w:val="0"/>
        <w:spacing w:line="360" w:lineRule="auto"/>
        <w:ind w:left="3740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P = C + G</w:t>
      </w:r>
    </w:p>
    <w:p w14:paraId="4E9CE7BF" w14:textId="77777777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gdzie:   </w:t>
      </w:r>
    </w:p>
    <w:p w14:paraId="74736F3D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C - liczba punktów przyznana ofercie ocenianej w kryterium „Cena".</w:t>
      </w:r>
    </w:p>
    <w:p w14:paraId="3B51206B" w14:textId="7BA3BA01" w:rsidR="0018718B" w:rsidRPr="00A22511" w:rsidRDefault="0018718B" w:rsidP="00A22511">
      <w:pPr>
        <w:widowControl w:val="0"/>
        <w:tabs>
          <w:tab w:val="left" w:pos="709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G – liczba punktów przyznana ofercie</w:t>
      </w:r>
      <w:r w:rsidRPr="0018718B">
        <w:rPr>
          <w:rFonts w:asciiTheme="minorHAnsi" w:eastAsia="Verdana" w:hAnsiTheme="minorHAnsi" w:cstheme="minorHAnsi"/>
          <w:lang w:eastAsia="pl-PL"/>
        </w:rPr>
        <w:tab/>
        <w:t xml:space="preserve"> ocenianej w kryterium „Gwarancja”.</w:t>
      </w:r>
    </w:p>
    <w:p w14:paraId="331251CC" w14:textId="1E31D1E8" w:rsidR="00C14C64" w:rsidRPr="00A571FC" w:rsidRDefault="00EB55F8" w:rsidP="00A571FC">
      <w:pPr>
        <w:pStyle w:val="Lista"/>
        <w:numPr>
          <w:ilvl w:val="1"/>
          <w:numId w:val="13"/>
        </w:numPr>
        <w:spacing w:after="0" w:line="360" w:lineRule="auto"/>
        <w:ind w:left="482" w:hanging="482"/>
        <w:jc w:val="both"/>
        <w:rPr>
          <w:rFonts w:asciiTheme="minorHAnsi" w:hAnsiTheme="minorHAnsi" w:cstheme="minorHAnsi"/>
          <w:i/>
          <w:spacing w:val="-6"/>
        </w:rPr>
      </w:pPr>
      <w:r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</w:t>
      </w:r>
      <w:r w:rsidR="00963FA1" w:rsidRPr="0018718B">
        <w:rPr>
          <w:rFonts w:asciiTheme="minorHAnsi" w:hAnsiTheme="minorHAnsi" w:cstheme="minorHAnsi"/>
          <w:spacing w:val="-6"/>
        </w:rPr>
        <w:t>o</w:t>
      </w:r>
      <w:r w:rsidRPr="0018718B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7D4DD6" w:rsidRDefault="002C4720" w:rsidP="00A22511">
      <w:pPr>
        <w:pStyle w:val="Lista"/>
        <w:numPr>
          <w:ilvl w:val="0"/>
          <w:numId w:val="13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05A2271" w14:textId="7309BE90" w:rsidR="0062435B" w:rsidRDefault="0062435B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Formularz cenowy (załącznik 3.1)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0DB5805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Anna </w:t>
      </w:r>
      <w:proofErr w:type="spellStart"/>
      <w:r w:rsidR="00F6147D" w:rsidRPr="00F6147D">
        <w:rPr>
          <w:rFonts w:asciiTheme="minorHAnsi" w:hAnsiTheme="minorHAnsi" w:cstheme="minorHAnsi"/>
          <w:webHidden/>
          <w:spacing w:val="-10"/>
        </w:rPr>
        <w:t>Bromka</w:t>
      </w:r>
      <w:proofErr w:type="spellEnd"/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F6147D" w:rsidRPr="00F6147D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6147D" w:rsidRPr="00F6147D">
        <w:rPr>
          <w:rFonts w:asciiTheme="minorHAnsi" w:hAnsiTheme="minorHAnsi" w:cstheme="minorHAnsi"/>
          <w:webHidden/>
          <w:spacing w:val="-10"/>
        </w:rPr>
        <w:t>Katarzyna 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2EB82CB1" w14:textId="7975099A" w:rsidR="00984E09" w:rsidRPr="007D4DD6" w:rsidRDefault="00984E09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cenowy.</w:t>
      </w:r>
    </w:p>
    <w:p w14:paraId="63E7D804" w14:textId="0BE18D7C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D32A1"/>
    <w:rsid w:val="000E7E13"/>
    <w:rsid w:val="000F07A0"/>
    <w:rsid w:val="00101FB6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434B-25AE-4007-BD47-D9C54DE6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5</cp:revision>
  <cp:lastPrinted>2021-05-31T09:57:00Z</cp:lastPrinted>
  <dcterms:created xsi:type="dcterms:W3CDTF">2021-05-31T09:37:00Z</dcterms:created>
  <dcterms:modified xsi:type="dcterms:W3CDTF">2021-06-01T07:12:00Z</dcterms:modified>
</cp:coreProperties>
</file>