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WZP –</w:t>
                              </w:r>
                              <w:r w:rsidR="00BE41C0">
                                <w:rPr>
                                  <w:sz w:val="18"/>
                                  <w:szCs w:val="18"/>
                                </w:rPr>
                                <w:t>749/598/</w:t>
                              </w:r>
                              <w:r w:rsidR="00EB0821">
                                <w:rPr>
                                  <w:sz w:val="18"/>
                                  <w:szCs w:val="18"/>
                                </w:rPr>
                                <w:t>2</w:t>
                              </w:r>
                              <w:r w:rsidR="00115E06">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WZP –</w:t>
                        </w:r>
                        <w:r w:rsidR="00BE41C0">
                          <w:rPr>
                            <w:sz w:val="18"/>
                            <w:szCs w:val="18"/>
                          </w:rPr>
                          <w:t>749/598/</w:t>
                        </w:r>
                        <w:r w:rsidR="00EB0821">
                          <w:rPr>
                            <w:sz w:val="18"/>
                            <w:szCs w:val="18"/>
                          </w:rPr>
                          <w:t>2</w:t>
                        </w:r>
                        <w:r w:rsidR="00115E06">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BE41C0">
        <w:rPr>
          <w:color w:val="auto"/>
          <w:szCs w:val="24"/>
        </w:rPr>
        <w:t xml:space="preserve">03.04.2024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2F5BC3">
      <w:pPr>
        <w:spacing w:after="0" w:line="240" w:lineRule="auto"/>
        <w:ind w:left="993" w:hanging="993"/>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2F5BC3">
        <w:rPr>
          <w:szCs w:val="24"/>
        </w:rPr>
        <w:br/>
        <w:t xml:space="preserve">na usługi społeczne </w:t>
      </w:r>
      <w:r w:rsidR="00595060" w:rsidRPr="00EB0821">
        <w:rPr>
          <w:szCs w:val="24"/>
        </w:rPr>
        <w:t>pn.</w:t>
      </w:r>
      <w:r w:rsidR="00D9151E" w:rsidRPr="00EB0821">
        <w:rPr>
          <w:szCs w:val="24"/>
        </w:rPr>
        <w:t>:</w:t>
      </w:r>
      <w:r w:rsidR="005736DA">
        <w:rPr>
          <w:szCs w:val="24"/>
        </w:rPr>
        <w:t xml:space="preserve"> </w:t>
      </w:r>
      <w:r w:rsidR="002F5BC3" w:rsidRPr="002F5BC3">
        <w:rPr>
          <w:b/>
          <w:szCs w:val="24"/>
        </w:rPr>
        <w:t>Świadczenie usług w zakresie obsługi prawnej</w:t>
      </w:r>
      <w:r w:rsidR="005B4853" w:rsidRPr="005B4853">
        <w:rPr>
          <w:b/>
          <w:szCs w:val="24"/>
        </w:rPr>
        <w:t xml:space="preserve">, </w:t>
      </w:r>
      <w:r w:rsidR="002F5BC3">
        <w:rPr>
          <w:b/>
          <w:szCs w:val="24"/>
        </w:rPr>
        <w:br/>
      </w:r>
      <w:r w:rsidR="00595060" w:rsidRPr="00EB0821">
        <w:rPr>
          <w:szCs w:val="24"/>
        </w:rPr>
        <w:t xml:space="preserve">nr ref.: </w:t>
      </w:r>
      <w:r w:rsidR="002F5BC3" w:rsidRPr="002F5BC3">
        <w:rPr>
          <w:b/>
          <w:szCs w:val="24"/>
        </w:rPr>
        <w:t>WZP 598/24/52/F</w:t>
      </w:r>
      <w:r w:rsidR="005736DA">
        <w:rPr>
          <w:b/>
          <w:szCs w:val="24"/>
        </w:rPr>
        <w:t>.</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z zm.),</w:t>
      </w:r>
      <w:r w:rsidR="002F5BC3">
        <w:rPr>
          <w:szCs w:val="24"/>
        </w:rPr>
        <w:t xml:space="preserve"> zwanej dalej „ustawą”, </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5736DA">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5736DA">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F5BC3" w:rsidRDefault="002F5BC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Pr>
          <w:rFonts w:eastAsia="Andale Sans UI"/>
          <w:b/>
          <w:bCs/>
          <w:kern w:val="3"/>
          <w:szCs w:val="24"/>
          <w:lang w:eastAsia="en-US" w:bidi="en-US"/>
        </w:rPr>
        <w:t>Pytanie nr 1;</w:t>
      </w:r>
    </w:p>
    <w:p w:rsidR="002F5BC3" w:rsidRDefault="002F5BC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F5BC3" w:rsidRPr="008F360A" w:rsidRDefault="002F5BC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t>Proszę o wyjaśnienie potencjalnej niespójności w SWZ. W cz. III pkt 5 Zamawiający wykluczył możliwość składania ofert wariantowych. W cz. III pkt 9 wskazał zakres postępowania podzielony na 3 (trzy) zadania. Żadne z nich nie jest jednak odrębnym przedmiotem postępowania, co nakazuje uznawać je za całość. Jednocześnie w cz. XI pkt 1 Zamawiający wykluczył możliwość złożenia oferty na więcej niż jedno (1) zadanie. W ten sposób uniemożliwił oferentom wybór więcej niż jednego zadania, a więc wykluczył potencjalnego oferenta z możliwości udziału w pełnym zakresie przedmiotu postępowania. Co może być ocenione jako niespójne m.in. z wymogami PZP dot. opisu przedmiotu zamówienia oraz z wymogiem zapewnienia konkurencyjności postępowania. Z kolei odrzucenie oferty dotyczącej więcej niż jednego zadania może być wtedy niezgodne z PZP.</w:t>
      </w:r>
      <w:r>
        <w:br/>
        <w:t>Czy Zamawiający akceptuje usunięcie zapisu z cz. XI pkt 1) SPZ ?</w:t>
      </w:r>
    </w:p>
    <w:p w:rsidR="00CF3138" w:rsidRPr="00565CDD" w:rsidRDefault="00CF313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6E3630" w:rsidRDefault="002F5BC3"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Zamawiający informuje, że nie dokona wykreślenia z treści SWZ postanowienia Rozdziału XI ust. 1. Zamawiający wskazuje jednocześnie, że ograniczenie liczby zadań (części) na jakie Wykonawcy mogą złożyć oferty jest w pełni zgodne z przepisami ustawy i zostało wyraźnie uregulowane w art. 91 ust. 3</w:t>
      </w:r>
      <w:r w:rsidR="00C303E2">
        <w:rPr>
          <w:rFonts w:eastAsia="Andale Sans UI"/>
          <w:bCs/>
          <w:color w:val="auto"/>
          <w:kern w:val="3"/>
          <w:szCs w:val="24"/>
          <w:lang w:eastAsia="en-US" w:bidi="en-US"/>
        </w:rPr>
        <w:t xml:space="preserve"> ustawy</w:t>
      </w:r>
      <w:r>
        <w:rPr>
          <w:rFonts w:eastAsia="Andale Sans UI"/>
          <w:bCs/>
          <w:color w:val="auto"/>
          <w:kern w:val="3"/>
          <w:szCs w:val="24"/>
          <w:lang w:eastAsia="en-US" w:bidi="en-US"/>
        </w:rPr>
        <w:t xml:space="preserve">. </w:t>
      </w:r>
      <w:r w:rsidR="006E3630">
        <w:rPr>
          <w:rFonts w:eastAsia="Andale Sans UI"/>
          <w:bCs/>
          <w:color w:val="auto"/>
          <w:kern w:val="3"/>
          <w:szCs w:val="24"/>
          <w:lang w:eastAsia="en-US" w:bidi="en-US"/>
        </w:rPr>
        <w:t>Zgodnie z tym przepisem Zamawiający wskazał w ogłoszeniu o zamówieniu</w:t>
      </w:r>
      <w:r w:rsidR="00C303E2" w:rsidRPr="00C303E2">
        <w:rPr>
          <w:rFonts w:eastAsia="Andale Sans UI"/>
          <w:bCs/>
          <w:color w:val="auto"/>
          <w:kern w:val="3"/>
          <w:szCs w:val="24"/>
          <w:lang w:eastAsia="en-US" w:bidi="en-US"/>
        </w:rPr>
        <w:t xml:space="preserve"> </w:t>
      </w:r>
      <w:r w:rsidR="00C303E2" w:rsidRPr="006E3630">
        <w:rPr>
          <w:rFonts w:eastAsia="Andale Sans UI"/>
          <w:bCs/>
          <w:color w:val="auto"/>
          <w:kern w:val="3"/>
          <w:szCs w:val="24"/>
          <w:lang w:eastAsia="en-US" w:bidi="en-US"/>
        </w:rPr>
        <w:t>nr 2024/BZP 00266405/01</w:t>
      </w:r>
      <w:r w:rsidR="006E3630">
        <w:rPr>
          <w:rFonts w:eastAsia="Andale Sans UI"/>
          <w:bCs/>
          <w:color w:val="auto"/>
          <w:kern w:val="3"/>
          <w:szCs w:val="24"/>
          <w:lang w:eastAsia="en-US" w:bidi="en-US"/>
        </w:rPr>
        <w:t xml:space="preserve"> (Sekcja 4.1.11-12) maksymalną liczbę zadań (części), jaka może być udzielona jednemu Wykonawcy – 1 zadanie (część). Zamawiający podkreśla, że takie postanowienia zawarte w dokumentach zamówienia </w:t>
      </w:r>
      <w:r w:rsidR="00E45830">
        <w:rPr>
          <w:rFonts w:eastAsia="Andale Sans UI"/>
          <w:bCs/>
          <w:color w:val="auto"/>
          <w:kern w:val="3"/>
          <w:szCs w:val="24"/>
          <w:lang w:eastAsia="en-US" w:bidi="en-US"/>
        </w:rPr>
        <w:t xml:space="preserve">są </w:t>
      </w:r>
      <w:r w:rsidR="006E3630">
        <w:rPr>
          <w:rFonts w:eastAsia="Andale Sans UI"/>
          <w:bCs/>
          <w:color w:val="auto"/>
          <w:kern w:val="3"/>
          <w:szCs w:val="24"/>
          <w:lang w:eastAsia="en-US" w:bidi="en-US"/>
        </w:rPr>
        <w:t>w pełni zgodne z przepisami ustawy</w:t>
      </w:r>
      <w:r w:rsidR="00E45830">
        <w:rPr>
          <w:rFonts w:eastAsia="Andale Sans UI"/>
          <w:bCs/>
          <w:color w:val="auto"/>
          <w:kern w:val="3"/>
          <w:szCs w:val="24"/>
          <w:lang w:eastAsia="en-US" w:bidi="en-US"/>
        </w:rPr>
        <w:t>, a oferta Wykonawcy złożona na więcej niż jedno zadanie (część) jest niezgodna z warunkami zamówienia i podlega odrzuceniu na podstawie art. 226 ust. 1 pkt 5 ustawy</w:t>
      </w:r>
      <w:r w:rsidR="006E3630">
        <w:rPr>
          <w:rFonts w:eastAsia="Andale Sans UI"/>
          <w:bCs/>
          <w:color w:val="auto"/>
          <w:kern w:val="3"/>
          <w:szCs w:val="24"/>
          <w:lang w:eastAsia="en-US" w:bidi="en-US"/>
        </w:rPr>
        <w:t xml:space="preserve">. </w:t>
      </w:r>
    </w:p>
    <w:p w:rsidR="00E45830" w:rsidRDefault="00E45830"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45830" w:rsidRDefault="00E45830"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Zamawiający wyjaśnia również, że nie ma żadnej sprzeczności, a nawet związku pomiędzy wyłączeniem możliwości składania ofert wariantowych, a dopuszczeniem ofert częściowych w postepowaniu. Zakres</w:t>
      </w:r>
      <w:r w:rsidR="009C1C34">
        <w:rPr>
          <w:rFonts w:eastAsia="Andale Sans UI"/>
          <w:bCs/>
          <w:color w:val="auto"/>
          <w:kern w:val="3"/>
          <w:szCs w:val="24"/>
          <w:lang w:eastAsia="en-US" w:bidi="en-US"/>
        </w:rPr>
        <w:t>y</w:t>
      </w:r>
      <w:r>
        <w:rPr>
          <w:rFonts w:eastAsia="Andale Sans UI"/>
          <w:bCs/>
          <w:color w:val="auto"/>
          <w:kern w:val="3"/>
          <w:szCs w:val="24"/>
          <w:lang w:eastAsia="en-US" w:bidi="en-US"/>
        </w:rPr>
        <w:t xml:space="preserve"> obu pojęć są rozłączne. </w:t>
      </w:r>
    </w:p>
    <w:p w:rsidR="00C303E2" w:rsidRDefault="00C303E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5114EA" w:rsidRDefault="00E45830" w:rsidP="00E3458E">
      <w:pPr>
        <w:widowControl w:val="0"/>
        <w:suppressAutoHyphens/>
        <w:autoSpaceDN w:val="0"/>
        <w:spacing w:after="0" w:line="240" w:lineRule="auto"/>
        <w:ind w:left="0" w:firstLine="0"/>
        <w:textAlignment w:val="baseline"/>
      </w:pPr>
      <w:r>
        <w:rPr>
          <w:rFonts w:eastAsia="Andale Sans UI"/>
          <w:bCs/>
          <w:color w:val="auto"/>
          <w:kern w:val="3"/>
          <w:szCs w:val="24"/>
          <w:lang w:eastAsia="en-US" w:bidi="en-US"/>
        </w:rPr>
        <w:t xml:space="preserve">Podział zamówienia na części </w:t>
      </w:r>
      <w:r w:rsidR="005114EA">
        <w:rPr>
          <w:rFonts w:eastAsia="Andale Sans UI"/>
          <w:bCs/>
          <w:color w:val="auto"/>
          <w:kern w:val="3"/>
          <w:szCs w:val="24"/>
          <w:lang w:eastAsia="en-US" w:bidi="en-US"/>
        </w:rPr>
        <w:t>wynika</w:t>
      </w:r>
      <w:r>
        <w:rPr>
          <w:rFonts w:eastAsia="Andale Sans UI"/>
          <w:bCs/>
          <w:color w:val="auto"/>
          <w:kern w:val="3"/>
          <w:szCs w:val="24"/>
          <w:lang w:eastAsia="en-US" w:bidi="en-US"/>
        </w:rPr>
        <w:t xml:space="preserve"> z art. 91 ust. 1 ustawy i w przedmiotowym postępowaniu jest realizowany </w:t>
      </w:r>
      <w:r w:rsidR="005114EA">
        <w:rPr>
          <w:rFonts w:eastAsia="Andale Sans UI"/>
          <w:bCs/>
          <w:color w:val="auto"/>
          <w:kern w:val="3"/>
          <w:szCs w:val="24"/>
          <w:lang w:eastAsia="en-US" w:bidi="en-US"/>
        </w:rPr>
        <w:t>poprzez możliwość składania ofert częś</w:t>
      </w:r>
      <w:r w:rsidR="00B6573B">
        <w:rPr>
          <w:rFonts w:eastAsia="Andale Sans UI"/>
          <w:bCs/>
          <w:color w:val="auto"/>
          <w:kern w:val="3"/>
          <w:szCs w:val="24"/>
          <w:lang w:eastAsia="en-US" w:bidi="en-US"/>
        </w:rPr>
        <w:t xml:space="preserve">ciowych. Z tego bowiem przepisu </w:t>
      </w:r>
      <w:r w:rsidR="005114EA">
        <w:rPr>
          <w:rFonts w:eastAsia="Andale Sans UI"/>
          <w:bCs/>
          <w:color w:val="auto"/>
          <w:kern w:val="3"/>
          <w:szCs w:val="24"/>
          <w:lang w:eastAsia="en-US" w:bidi="en-US"/>
        </w:rPr>
        <w:t xml:space="preserve">ustawy wywodzona jest zasada podziału zamówień publicznych na części. W przypadku bowiem braku takiego podziału Zamawiający jest obowiązany do uzasadnienia takiego rozwiązania w dokumentach zamówienia. Rozwiązanie to koresponduje z </w:t>
      </w:r>
      <w:r w:rsidR="005114EA">
        <w:t xml:space="preserve">78 preambuły dyrektywy </w:t>
      </w:r>
      <w:r w:rsidR="005114EA" w:rsidRPr="005114EA">
        <w:t>2014/24/UE</w:t>
      </w:r>
      <w:r w:rsidR="005114EA">
        <w:t xml:space="preserve">. </w:t>
      </w:r>
      <w:r w:rsidR="00C61C8D">
        <w:t xml:space="preserve">Związane jest to ze wsparciem dla sektora małych i średnich przedsiębiorców. </w:t>
      </w:r>
    </w:p>
    <w:p w:rsidR="005114EA" w:rsidRDefault="005114EA" w:rsidP="00E3458E">
      <w:pPr>
        <w:widowControl w:val="0"/>
        <w:suppressAutoHyphens/>
        <w:autoSpaceDN w:val="0"/>
        <w:spacing w:after="0" w:line="240" w:lineRule="auto"/>
        <w:ind w:left="0" w:firstLine="0"/>
        <w:textAlignment w:val="baseline"/>
      </w:pPr>
    </w:p>
    <w:p w:rsidR="00E45830" w:rsidRDefault="005114EA"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t>Podział zamówienia na części nie tylko nie ogranicza konkurencji, a wręcz przeciwnie zwiększa ją, gdyż w przedmiotowym postępowaniu</w:t>
      </w:r>
      <w:r w:rsidR="00C61C8D">
        <w:t xml:space="preserve"> zostaną wyło</w:t>
      </w:r>
      <w:r w:rsidR="00C303E2">
        <w:t>nieni do</w:t>
      </w:r>
      <w:r w:rsidR="00C61C8D">
        <w:t xml:space="preserve">celowo trzej Wykonawcy, a nie jeden. </w:t>
      </w:r>
    </w:p>
    <w:p w:rsidR="002F5BC3" w:rsidRDefault="002F5BC3"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60469" w:rsidRPr="00565CDD"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9B6867" w:rsidRDefault="00605F96" w:rsidP="005B4853">
      <w:pPr>
        <w:ind w:left="0" w:firstLine="0"/>
        <w:rPr>
          <w:b/>
          <w:color w:val="auto"/>
          <w:szCs w:val="24"/>
        </w:rPr>
      </w:pPr>
      <w:r w:rsidRPr="00565CDD">
        <w:rPr>
          <w:b/>
          <w:color w:val="auto"/>
          <w:szCs w:val="24"/>
        </w:rPr>
        <w:t>Odpowied</w:t>
      </w:r>
      <w:r w:rsidR="00D60469">
        <w:rPr>
          <w:b/>
          <w:color w:val="auto"/>
          <w:szCs w:val="24"/>
        </w:rPr>
        <w:t>ź</w:t>
      </w:r>
      <w:r w:rsidRPr="00565CDD">
        <w:rPr>
          <w:b/>
          <w:color w:val="auto"/>
          <w:szCs w:val="24"/>
        </w:rPr>
        <w:t xml:space="preserve"> </w:t>
      </w:r>
      <w:r w:rsidR="00D60469">
        <w:rPr>
          <w:b/>
          <w:color w:val="auto"/>
          <w:szCs w:val="24"/>
        </w:rPr>
        <w:t>na pytanie</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D60469">
        <w:rPr>
          <w:b/>
          <w:color w:val="auto"/>
          <w:szCs w:val="24"/>
        </w:rPr>
        <w:t>jest</w:t>
      </w:r>
      <w:r w:rsidR="00FB0DD1" w:rsidRPr="00565CDD">
        <w:rPr>
          <w:b/>
          <w:color w:val="auto"/>
          <w:szCs w:val="24"/>
        </w:rPr>
        <w:t xml:space="preserve"> </w:t>
      </w:r>
      <w:r w:rsidR="00D60469">
        <w:rPr>
          <w:b/>
          <w:color w:val="auto"/>
          <w:szCs w:val="24"/>
        </w:rPr>
        <w:t>wiążące dla stron i musi</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BE41C0" w:rsidRDefault="00BE41C0" w:rsidP="005B4853">
      <w:pPr>
        <w:ind w:left="0" w:firstLine="0"/>
        <w:rPr>
          <w:b/>
          <w:color w:val="auto"/>
          <w:szCs w:val="24"/>
        </w:rPr>
      </w:pPr>
    </w:p>
    <w:p w:rsidR="00BE41C0" w:rsidRDefault="00BE41C0" w:rsidP="005B4853">
      <w:pPr>
        <w:ind w:left="0" w:firstLine="0"/>
        <w:rPr>
          <w:b/>
          <w:color w:val="auto"/>
          <w:szCs w:val="24"/>
        </w:rPr>
      </w:pPr>
    </w:p>
    <w:p w:rsidR="00BE41C0" w:rsidRDefault="00BE41C0" w:rsidP="00BE41C0">
      <w:pPr>
        <w:ind w:left="6521" w:firstLine="0"/>
        <w:rPr>
          <w:b/>
          <w:color w:val="auto"/>
          <w:szCs w:val="24"/>
        </w:rPr>
      </w:pPr>
      <w:r>
        <w:rPr>
          <w:b/>
          <w:color w:val="auto"/>
          <w:szCs w:val="24"/>
        </w:rPr>
        <w:t>Podpis na oryginale:</w:t>
      </w:r>
    </w:p>
    <w:p w:rsidR="00BE41C0" w:rsidRDefault="00BE41C0" w:rsidP="00BE41C0">
      <w:pPr>
        <w:ind w:left="6521" w:firstLine="0"/>
        <w:rPr>
          <w:b/>
          <w:color w:val="auto"/>
          <w:szCs w:val="24"/>
        </w:rPr>
      </w:pPr>
      <w:bookmarkStart w:id="0" w:name="_GoBack"/>
      <w:bookmarkEnd w:id="0"/>
    </w:p>
    <w:p w:rsidR="00BE41C0" w:rsidRPr="00565CDD" w:rsidRDefault="00BE41C0" w:rsidP="00BE41C0">
      <w:pPr>
        <w:ind w:left="6521" w:firstLine="0"/>
        <w:rPr>
          <w:b/>
          <w:color w:val="auto"/>
          <w:szCs w:val="24"/>
        </w:rPr>
      </w:pPr>
      <w:r>
        <w:rPr>
          <w:b/>
          <w:color w:val="auto"/>
          <w:szCs w:val="24"/>
        </w:rPr>
        <w:t>\-\ Katarzyna Jacak</w:t>
      </w:r>
    </w:p>
    <w:sectPr w:rsidR="00BE41C0"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D4" w:rsidRDefault="008B51D4" w:rsidP="00FB35C9">
      <w:pPr>
        <w:spacing w:after="0" w:line="240" w:lineRule="auto"/>
      </w:pPr>
      <w:r>
        <w:separator/>
      </w:r>
    </w:p>
  </w:endnote>
  <w:endnote w:type="continuationSeparator" w:id="0">
    <w:p w:rsidR="008B51D4" w:rsidRDefault="008B51D4"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D4" w:rsidRDefault="008B51D4" w:rsidP="00FB35C9">
      <w:pPr>
        <w:spacing w:after="0" w:line="240" w:lineRule="auto"/>
      </w:pPr>
      <w:r>
        <w:separator/>
      </w:r>
    </w:p>
  </w:footnote>
  <w:footnote w:type="continuationSeparator" w:id="0">
    <w:p w:rsidR="008B51D4" w:rsidRDefault="008B51D4"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F0C55"/>
    <w:rsid w:val="001115A1"/>
    <w:rsid w:val="00115E06"/>
    <w:rsid w:val="00175F2A"/>
    <w:rsid w:val="001805D3"/>
    <w:rsid w:val="001818A5"/>
    <w:rsid w:val="00196A9C"/>
    <w:rsid w:val="001B04C0"/>
    <w:rsid w:val="001C26C5"/>
    <w:rsid w:val="001C62E2"/>
    <w:rsid w:val="001F301B"/>
    <w:rsid w:val="001F69C1"/>
    <w:rsid w:val="00223C9C"/>
    <w:rsid w:val="00251558"/>
    <w:rsid w:val="00255FCC"/>
    <w:rsid w:val="0029086E"/>
    <w:rsid w:val="002A5608"/>
    <w:rsid w:val="002B4EDF"/>
    <w:rsid w:val="002D02CC"/>
    <w:rsid w:val="002D0C7F"/>
    <w:rsid w:val="002F5BC3"/>
    <w:rsid w:val="0033180E"/>
    <w:rsid w:val="00332CD4"/>
    <w:rsid w:val="00337393"/>
    <w:rsid w:val="0036086D"/>
    <w:rsid w:val="00385CA4"/>
    <w:rsid w:val="003875D2"/>
    <w:rsid w:val="003A173E"/>
    <w:rsid w:val="00402A7B"/>
    <w:rsid w:val="0042375E"/>
    <w:rsid w:val="00492EC8"/>
    <w:rsid w:val="004C2918"/>
    <w:rsid w:val="004C7C9F"/>
    <w:rsid w:val="00504789"/>
    <w:rsid w:val="005114EA"/>
    <w:rsid w:val="00517B69"/>
    <w:rsid w:val="005317E6"/>
    <w:rsid w:val="005324A9"/>
    <w:rsid w:val="00532DF6"/>
    <w:rsid w:val="00565CDD"/>
    <w:rsid w:val="005736DA"/>
    <w:rsid w:val="00595060"/>
    <w:rsid w:val="005B4853"/>
    <w:rsid w:val="005D5EFB"/>
    <w:rsid w:val="005E070E"/>
    <w:rsid w:val="005E744D"/>
    <w:rsid w:val="005F482C"/>
    <w:rsid w:val="00605F96"/>
    <w:rsid w:val="00635B77"/>
    <w:rsid w:val="00655980"/>
    <w:rsid w:val="006A0406"/>
    <w:rsid w:val="006C1F12"/>
    <w:rsid w:val="006D723F"/>
    <w:rsid w:val="006E3630"/>
    <w:rsid w:val="00704D35"/>
    <w:rsid w:val="0074335F"/>
    <w:rsid w:val="007B3FFB"/>
    <w:rsid w:val="007B6EE3"/>
    <w:rsid w:val="007C4CED"/>
    <w:rsid w:val="007D6912"/>
    <w:rsid w:val="007E340C"/>
    <w:rsid w:val="00866672"/>
    <w:rsid w:val="00892F50"/>
    <w:rsid w:val="008A4B01"/>
    <w:rsid w:val="008B51D4"/>
    <w:rsid w:val="008F0FEE"/>
    <w:rsid w:val="008F360A"/>
    <w:rsid w:val="009052F5"/>
    <w:rsid w:val="009059FA"/>
    <w:rsid w:val="00940D45"/>
    <w:rsid w:val="00944309"/>
    <w:rsid w:val="0096496A"/>
    <w:rsid w:val="009862A8"/>
    <w:rsid w:val="009B6867"/>
    <w:rsid w:val="009C1C34"/>
    <w:rsid w:val="009D0E1E"/>
    <w:rsid w:val="009D44EB"/>
    <w:rsid w:val="009E45EC"/>
    <w:rsid w:val="00A02D88"/>
    <w:rsid w:val="00A1517A"/>
    <w:rsid w:val="00A94BE1"/>
    <w:rsid w:val="00B217BA"/>
    <w:rsid w:val="00B31F61"/>
    <w:rsid w:val="00B62CAC"/>
    <w:rsid w:val="00B6573B"/>
    <w:rsid w:val="00BA083D"/>
    <w:rsid w:val="00BA7C2F"/>
    <w:rsid w:val="00BB5D65"/>
    <w:rsid w:val="00BE41C0"/>
    <w:rsid w:val="00BE4537"/>
    <w:rsid w:val="00BF3FE5"/>
    <w:rsid w:val="00C131C5"/>
    <w:rsid w:val="00C303E2"/>
    <w:rsid w:val="00C34F00"/>
    <w:rsid w:val="00C42368"/>
    <w:rsid w:val="00C61C8D"/>
    <w:rsid w:val="00C93878"/>
    <w:rsid w:val="00C96DEE"/>
    <w:rsid w:val="00CF3138"/>
    <w:rsid w:val="00CF5C56"/>
    <w:rsid w:val="00D22E27"/>
    <w:rsid w:val="00D24DB1"/>
    <w:rsid w:val="00D31385"/>
    <w:rsid w:val="00D422F3"/>
    <w:rsid w:val="00D437AC"/>
    <w:rsid w:val="00D52E13"/>
    <w:rsid w:val="00D52FB7"/>
    <w:rsid w:val="00D60469"/>
    <w:rsid w:val="00D900D4"/>
    <w:rsid w:val="00D9151E"/>
    <w:rsid w:val="00D9357C"/>
    <w:rsid w:val="00DA31C2"/>
    <w:rsid w:val="00DB0C56"/>
    <w:rsid w:val="00DB4F27"/>
    <w:rsid w:val="00DD4BA6"/>
    <w:rsid w:val="00DE04A0"/>
    <w:rsid w:val="00DF573C"/>
    <w:rsid w:val="00E134B8"/>
    <w:rsid w:val="00E20EF0"/>
    <w:rsid w:val="00E22EDD"/>
    <w:rsid w:val="00E2570B"/>
    <w:rsid w:val="00E3458E"/>
    <w:rsid w:val="00E45830"/>
    <w:rsid w:val="00E61FD8"/>
    <w:rsid w:val="00E62BB7"/>
    <w:rsid w:val="00E72ABF"/>
    <w:rsid w:val="00E91422"/>
    <w:rsid w:val="00EB0821"/>
    <w:rsid w:val="00EB662A"/>
    <w:rsid w:val="00EE6028"/>
    <w:rsid w:val="00EF6D7E"/>
    <w:rsid w:val="00F253B5"/>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81D9"/>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semiHidden/>
    <w:unhideWhenUsed/>
    <w:rsid w:val="00511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5B25-8420-4EDE-B95A-285F9275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2937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2024-01-18T07:14:00Z</cp:lastPrinted>
  <dcterms:created xsi:type="dcterms:W3CDTF">2024-04-03T09:33:00Z</dcterms:created>
  <dcterms:modified xsi:type="dcterms:W3CDTF">2024-04-03T09:36:00Z</dcterms:modified>
</cp:coreProperties>
</file>