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CCD347B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F94FC7" w:rsidRPr="00F94FC7">
        <w:rPr>
          <w:b/>
          <w:bCs/>
          <w:iCs/>
          <w:color w:val="000000" w:themeColor="text1"/>
        </w:rPr>
        <w:t>28</w:t>
      </w:r>
      <w:r w:rsidRPr="00F94FC7">
        <w:rPr>
          <w:b/>
          <w:bCs/>
          <w:iCs/>
          <w:color w:val="000000" w:themeColor="text1"/>
        </w:rPr>
        <w:t xml:space="preserve"> – </w:t>
      </w:r>
      <w:r w:rsidR="00F94FC7" w:rsidRPr="00F94FC7">
        <w:rPr>
          <w:b/>
          <w:bCs/>
          <w:iCs/>
          <w:color w:val="000000" w:themeColor="text1"/>
        </w:rPr>
        <w:t>SZAFA UBRANIOWA JEDNOSEGMENTOWA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F94FC7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F94FC7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F94FC7" w14:paraId="66A47473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1DD491D1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Szafa pacjenta jednoosobowa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2B87F45A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EEAC7D4" w14:textId="77777777" w:rsidR="00F94FC7" w:rsidRPr="00F94FC7" w:rsidRDefault="00F94FC7" w:rsidP="00F94FC7">
            <w:pPr>
              <w:pStyle w:val="Style35"/>
              <w:widowControl/>
              <w:spacing w:line="250" w:lineRule="exact"/>
              <w:ind w:right="67"/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Szafa pacjenta powinna posiadać wymiary:</w:t>
            </w:r>
          </w:p>
          <w:p w14:paraId="1001061B" w14:textId="77777777" w:rsidR="00F94FC7" w:rsidRPr="00F94FC7" w:rsidRDefault="00F94FC7" w:rsidP="00F94FC7">
            <w:pPr>
              <w:pStyle w:val="Style35"/>
              <w:widowControl/>
              <w:spacing w:line="250" w:lineRule="exact"/>
              <w:ind w:right="67"/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- szerokość: 320 mm</w:t>
            </w:r>
          </w:p>
          <w:p w14:paraId="1253F77A" w14:textId="77777777" w:rsidR="00F94FC7" w:rsidRPr="00F94FC7" w:rsidRDefault="00F94FC7" w:rsidP="00F94FC7">
            <w:pPr>
              <w:pStyle w:val="Style35"/>
              <w:widowControl/>
              <w:spacing w:line="250" w:lineRule="exact"/>
              <w:ind w:right="67"/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- głębokość: 500 mm</w:t>
            </w:r>
          </w:p>
          <w:p w14:paraId="3A49C99B" w14:textId="77777777" w:rsidR="00F94FC7" w:rsidRPr="00F94FC7" w:rsidRDefault="00F94FC7" w:rsidP="00F94FC7">
            <w:pPr>
              <w:pStyle w:val="Style35"/>
              <w:widowControl/>
              <w:spacing w:line="250" w:lineRule="exact"/>
              <w:ind w:right="67"/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- wysokość: 1850 mm</w:t>
            </w:r>
          </w:p>
          <w:p w14:paraId="7CF845C5" w14:textId="3BC80152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Od powyższych wymiarów dopuszcza się tolerancję w zakresie +/- 15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1AED5336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02E7819B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Korpus szafki wykonany z blachy stalowej węglowej DC01 lub równoważny, płytko tłoczonej, obrabianej chemicznie poprzez fosforanowanie żelazawe o grubości nie mniejszej niż 0,8 mm. Typ jakości blachy DC01 / DIN-EN 10130/10131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7F261E90" w14:textId="77777777" w:rsidTr="00F94FC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417E0623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Korpus malowany proszkowo farbą posiadającą atest higieniczny. Stosowny dokument należy </w:t>
            </w:r>
            <w:r>
              <w:rPr>
                <w:rStyle w:val="FontStyle128"/>
                <w:rFonts w:asciiTheme="minorHAnsi" w:hAnsiTheme="minorHAnsi" w:cstheme="minorHAnsi"/>
              </w:rPr>
              <w:t>dołączyć na etapie składania oferty</w:t>
            </w:r>
            <w:r w:rsidRPr="00F94FC7">
              <w:rPr>
                <w:rStyle w:val="FontStyle128"/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6CE626F2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3E41C8DE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Drzwi szafki wykonane z płyty HPL o grubości ok. 13 mm wyposażone w ogranicznik otwarcia do kąta 90 stopni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355B65D4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7CC3B05F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Front wyposażony w zamek cylindryczny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6FE59442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7A522538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Szafka wyposażona w półkę </w:t>
            </w:r>
            <w:r w:rsidRPr="00F94FC7">
              <w:rPr>
                <w:rFonts w:cstheme="minorHAnsi"/>
                <w:sz w:val="20"/>
                <w:szCs w:val="20"/>
              </w:rPr>
              <w:t xml:space="preserve">oraz </w:t>
            </w:r>
            <w:r w:rsidRPr="00F94FC7">
              <w:rPr>
                <w:rStyle w:val="FontStyle128"/>
                <w:rFonts w:asciiTheme="minorHAnsi" w:hAnsiTheme="minorHAnsi" w:cstheme="minorHAnsi"/>
              </w:rPr>
              <w:t>drążek z tworzywa sztucznego w postaci rowkowanego profilu o podwyższonej wytrzymałości. Na drążku powinny być umieszczone haczyki przesuwne wykonane z tworzywa o wytrzymałości min. 9 kg każdy. Haczyki powinny być przystosowane do wieszania wieszaków hotelowych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5C924FFB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3C6AC729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Półka oraz dno szafki powinny być gładkie, łatwe w czyszczeniu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2FA417F8" w14:textId="77777777" w:rsidTr="00F94FC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6767466F" w:rsidR="00F94FC7" w:rsidRPr="00F94FC7" w:rsidRDefault="00F94FC7" w:rsidP="00F94FC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>Szafka posadowiona na nóżkach z tworzywa sztucznego o wysokości ok. 150 mm, z regulacją poziomowania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F94FC7" w:rsidRDefault="00F94FC7" w:rsidP="00F94FC7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F94FC7" w14:paraId="42DC732B" w14:textId="77777777" w:rsidTr="007645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000FC0B0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Szafka powinna posiadać Certyfikat TUV GS – sprawdzone bezpiecznego użytkowania lub równoważny. Stosowny dokument należy </w:t>
            </w:r>
            <w:r>
              <w:rPr>
                <w:rStyle w:val="FontStyle128"/>
                <w:rFonts w:asciiTheme="minorHAnsi" w:hAnsiTheme="minorHAnsi" w:cstheme="minorHAnsi"/>
              </w:rPr>
              <w:t>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94FC7" w14:paraId="1B6673B4" w14:textId="77777777" w:rsidTr="007645B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F94FC7" w:rsidRPr="005B4FD7" w:rsidRDefault="00F94FC7" w:rsidP="00F94FC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58B9DAF1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  <w:r w:rsidRPr="00F94FC7">
              <w:rPr>
                <w:rStyle w:val="FontStyle128"/>
                <w:rFonts w:asciiTheme="minorHAnsi" w:hAnsiTheme="minorHAnsi" w:cstheme="minorHAnsi"/>
              </w:rPr>
              <w:t xml:space="preserve">Szafka powinna być produkowana w oparciu o standardy produkcji określone w normie ISO 9001 lub równoważnej, ISO 14001 lub równoważnej oraz ISO 50001 lub równoważnej potwierdzone certyfikatami wystawionymi przez niezależną, akredytowaną jednostkę uprawnioną do wydawania tego rodzaju zaświadczeń. Stosowne dokumenty należy </w:t>
            </w:r>
            <w:r>
              <w:rPr>
                <w:rStyle w:val="FontStyle128"/>
                <w:rFonts w:asciiTheme="minorHAnsi" w:hAnsiTheme="minorHAnsi" w:cstheme="minorHAnsi"/>
              </w:rPr>
              <w:t>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F94FC7" w:rsidRPr="005B4FD7" w:rsidRDefault="00F94FC7" w:rsidP="00F94FC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lastRenderedPageBreak/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07F7"/>
    <w:rsid w:val="000777FF"/>
    <w:rsid w:val="00143FE4"/>
    <w:rsid w:val="003B7A3A"/>
    <w:rsid w:val="0055707E"/>
    <w:rsid w:val="005B4FD7"/>
    <w:rsid w:val="00621E9A"/>
    <w:rsid w:val="00A16DE5"/>
    <w:rsid w:val="00A20625"/>
    <w:rsid w:val="00CA08C7"/>
    <w:rsid w:val="00CD3C32"/>
    <w:rsid w:val="00CF6F8F"/>
    <w:rsid w:val="00F9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F94FC7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5">
    <w:name w:val="Style35"/>
    <w:basedOn w:val="Normalny"/>
    <w:rsid w:val="00F94FC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330</Words>
  <Characters>1984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2024-11-08T10:06:00Z</dcterms:modified>
</cp:coreProperties>
</file>