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0E1A095C" w:rsidR="00CA08C7" w:rsidRPr="000777FF" w:rsidRDefault="005B4FD7">
      <w:pPr>
        <w:rPr>
          <w:i/>
        </w:rPr>
      </w:pPr>
      <w:r>
        <w:rPr>
          <w:b/>
        </w:rPr>
        <w:t>TABELA NR</w:t>
      </w:r>
      <w:r w:rsidR="000116A9">
        <w:rPr>
          <w:b/>
        </w:rPr>
        <w:t xml:space="preserve"> </w:t>
      </w:r>
      <w:r w:rsidR="009A1276">
        <w:rPr>
          <w:b/>
        </w:rPr>
        <w:t xml:space="preserve">40. Pompa </w:t>
      </w:r>
      <w:proofErr w:type="spellStart"/>
      <w:r w:rsidR="009A1276">
        <w:rPr>
          <w:b/>
        </w:rPr>
        <w:t>strzykawkowa</w:t>
      </w:r>
      <w:proofErr w:type="spellEnd"/>
      <w:r w:rsidR="009A1276">
        <w:rPr>
          <w:b/>
        </w:rPr>
        <w:t xml:space="preserve">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116A9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116A9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9A1276" w14:paraId="66A47473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726A" w14:textId="4EBA4752" w:rsidR="009A1276" w:rsidRPr="009A1276" w:rsidRDefault="009A1276" w:rsidP="009A127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 xml:space="preserve">Stosowanie strzykawek </w:t>
            </w:r>
            <w:r w:rsidRPr="009A1276">
              <w:rPr>
                <w:rFonts w:ascii="Times New Roman" w:hAnsi="Times New Roman"/>
              </w:rPr>
              <w:t>2</w:t>
            </w:r>
            <w:r w:rsidRPr="009A1276">
              <w:rPr>
                <w:rFonts w:ascii="Times New Roman" w:hAnsi="Times New Roman"/>
                <w:sz w:val="20"/>
                <w:szCs w:val="20"/>
              </w:rPr>
              <w:t xml:space="preserve">, 5, 6, 10, 12, 20, 30, 35, 50 ml.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2B87F45A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845C5" w14:textId="5B4EE93B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Strzykawki montowane od czoła.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1AED5336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14EAC" w14:textId="7D567178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Ramię pompy niewychodzące poza gabaryt obudowy.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7F261E90" w14:textId="77777777" w:rsidTr="00505BA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2F92D" w14:textId="784BFE27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 xml:space="preserve">Klawiatura symboliczna i alfanumeryczna umożliwiająca szybkie i intuicyjne programowanie infuzji oraz obsługę pompy-nie dopuszcza się klawiatury wyświetlanej na ekranie pompy.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6CE626F2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09D5" w14:textId="16621E39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 xml:space="preserve">Wysokość pompy 11,5cm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59C0C0A0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9857FE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48471" w14:textId="4D2E3484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Szybkość dozowania w zakresie 0,01-2000 ml/h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099C5F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0E9DABD7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B1D6C3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1948F" w14:textId="77777777" w:rsidR="009A1276" w:rsidRPr="009A1276" w:rsidRDefault="009A1276" w:rsidP="009A127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Programowanie parametrów infuzji w jednostkach:</w:t>
            </w:r>
          </w:p>
          <w:p w14:paraId="51CCD4F1" w14:textId="77777777" w:rsidR="009A1276" w:rsidRPr="009A1276" w:rsidRDefault="009A1276" w:rsidP="009A1276">
            <w:pPr>
              <w:numPr>
                <w:ilvl w:val="0"/>
                <w:numId w:val="2"/>
              </w:numPr>
              <w:suppressAutoHyphens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ml, L,</w:t>
            </w:r>
          </w:p>
          <w:p w14:paraId="3A11F4B9" w14:textId="77777777" w:rsidR="009A1276" w:rsidRPr="009A1276" w:rsidRDefault="009A1276" w:rsidP="009A1276">
            <w:pPr>
              <w:numPr>
                <w:ilvl w:val="0"/>
                <w:numId w:val="2"/>
              </w:numPr>
              <w:suppressAutoHyphens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ng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μg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>, mg, g,</w:t>
            </w:r>
          </w:p>
          <w:p w14:paraId="5DE633F9" w14:textId="77777777" w:rsidR="009A1276" w:rsidRPr="009A1276" w:rsidRDefault="009A1276" w:rsidP="009A1276">
            <w:pPr>
              <w:numPr>
                <w:ilvl w:val="0"/>
                <w:numId w:val="2"/>
              </w:numPr>
              <w:suppressAutoHyphens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μEq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mEq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Eq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>,</w:t>
            </w:r>
          </w:p>
          <w:p w14:paraId="6364BE55" w14:textId="77777777" w:rsidR="009A1276" w:rsidRPr="009A1276" w:rsidRDefault="009A1276" w:rsidP="009A1276">
            <w:pPr>
              <w:numPr>
                <w:ilvl w:val="0"/>
                <w:numId w:val="2"/>
              </w:numPr>
              <w:suppressAutoHyphens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mlU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IU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kIU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>,</w:t>
            </w:r>
          </w:p>
          <w:p w14:paraId="2AE6ABC8" w14:textId="77777777" w:rsidR="009A1276" w:rsidRPr="009A1276" w:rsidRDefault="009A1276" w:rsidP="009A1276">
            <w:pPr>
              <w:numPr>
                <w:ilvl w:val="0"/>
                <w:numId w:val="2"/>
              </w:numPr>
              <w:suppressAutoHyphens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mIE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IE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kIE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>,</w:t>
            </w:r>
          </w:p>
          <w:p w14:paraId="6E58D685" w14:textId="77777777" w:rsidR="009A1276" w:rsidRPr="009A1276" w:rsidRDefault="009A1276" w:rsidP="009A1276">
            <w:pPr>
              <w:numPr>
                <w:ilvl w:val="0"/>
                <w:numId w:val="2"/>
              </w:numPr>
              <w:suppressAutoHyphens/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cal, kcal,</w:t>
            </w:r>
          </w:p>
          <w:p w14:paraId="612A955D" w14:textId="77777777" w:rsidR="009A1276" w:rsidRPr="009A1276" w:rsidRDefault="009A1276" w:rsidP="009A1276">
            <w:pPr>
              <w:numPr>
                <w:ilvl w:val="0"/>
                <w:numId w:val="2"/>
              </w:numPr>
              <w:suppressAutoHyphens/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 xml:space="preserve">J, </w:t>
            </w: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kJ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>,</w:t>
            </w:r>
          </w:p>
          <w:p w14:paraId="39B1041A" w14:textId="77777777" w:rsidR="009A1276" w:rsidRPr="009A1276" w:rsidRDefault="009A1276" w:rsidP="009A1276">
            <w:pPr>
              <w:numPr>
                <w:ilvl w:val="0"/>
                <w:numId w:val="3"/>
              </w:numPr>
              <w:suppressAutoHyphens/>
              <w:spacing w:after="6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A1276">
              <w:rPr>
                <w:rFonts w:ascii="Calibri" w:hAnsi="Calibri"/>
                <w:sz w:val="20"/>
                <w:szCs w:val="20"/>
              </w:rPr>
              <w:t>mmol</w:t>
            </w:r>
            <w:proofErr w:type="spellEnd"/>
            <w:r w:rsidRPr="009A1276">
              <w:rPr>
                <w:rFonts w:ascii="Calibri" w:hAnsi="Calibri"/>
                <w:sz w:val="20"/>
                <w:szCs w:val="20"/>
              </w:rPr>
              <w:t xml:space="preserve">, mol, </w:t>
            </w:r>
          </w:p>
          <w:p w14:paraId="56F721D3" w14:textId="77777777" w:rsidR="009A1276" w:rsidRPr="009A1276" w:rsidRDefault="009A1276" w:rsidP="009A1276">
            <w:pPr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z uwzględnieniem wagi pacjenta lub nie,</w:t>
            </w:r>
          </w:p>
          <w:p w14:paraId="61D98753" w14:textId="77777777" w:rsidR="009A1276" w:rsidRPr="009A1276" w:rsidRDefault="009A1276" w:rsidP="009A1276">
            <w:pPr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 xml:space="preserve">z uwzględnieniem powierzchni pacjenta lub nie, </w:t>
            </w:r>
          </w:p>
          <w:p w14:paraId="7588D758" w14:textId="712955AA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na min, godz., dobę.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BA4960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48474CDF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FA6E5B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5EBE" w14:textId="59C844C8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Zabezpieczenie przed gwałtowną zmianą szybkości w trakcie trwania infuzji (miareczkowanie).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077604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36512209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16F6FA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38764" w14:textId="77777777" w:rsidR="009A1276" w:rsidRPr="009A1276" w:rsidRDefault="009A1276" w:rsidP="009A1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Tryby dozowania:</w:t>
            </w:r>
          </w:p>
          <w:p w14:paraId="696E0641" w14:textId="77777777" w:rsidR="009A1276" w:rsidRPr="009A1276" w:rsidRDefault="009A1276" w:rsidP="009A1276">
            <w:pPr>
              <w:numPr>
                <w:ilvl w:val="0"/>
                <w:numId w:val="4"/>
              </w:numPr>
              <w:suppressAutoHyphens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Infuzja ciągła,</w:t>
            </w:r>
          </w:p>
          <w:p w14:paraId="3CF2E06D" w14:textId="77777777" w:rsidR="009A1276" w:rsidRPr="009A1276" w:rsidRDefault="009A1276" w:rsidP="009A1276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Infuzja bolusowa (z przerwą),</w:t>
            </w:r>
          </w:p>
          <w:p w14:paraId="4C989641" w14:textId="77777777" w:rsidR="009A1276" w:rsidRPr="009A1276" w:rsidRDefault="009A1276" w:rsidP="009A1276">
            <w:pPr>
              <w:numPr>
                <w:ilvl w:val="0"/>
                <w:numId w:val="4"/>
              </w:numPr>
              <w:suppressAutoHyphens/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Infuzja profilowa (min. 16 kroków infuzji),</w:t>
            </w:r>
          </w:p>
          <w:p w14:paraId="200D939D" w14:textId="14C92198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Infuzja TPN (narastanie / utrzymanie / opadanie).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E4A9C1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07DCEDC7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9C6F11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AEE6" w14:textId="031A7FDE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 xml:space="preserve">Dokładność infuzji </w:t>
            </w:r>
            <w:r w:rsidRPr="009A1276">
              <w:rPr>
                <w:rFonts w:ascii="Calibri" w:hAnsi="Calibri"/>
                <w:sz w:val="20"/>
                <w:szCs w:val="20"/>
              </w:rPr>
              <w:t xml:space="preserve">± </w:t>
            </w:r>
            <w:r w:rsidRPr="009A1276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0B9195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5379758D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115BBEE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80B3E" w14:textId="77777777" w:rsidR="009A1276" w:rsidRPr="009A1276" w:rsidRDefault="009A1276" w:rsidP="009A1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Programowanie parametrów podaży Bolus-a i dawki indukcyjnej:</w:t>
            </w:r>
          </w:p>
          <w:p w14:paraId="0BC407B8" w14:textId="77777777" w:rsidR="009A1276" w:rsidRPr="009A1276" w:rsidRDefault="009A1276" w:rsidP="009A1276">
            <w:pPr>
              <w:numPr>
                <w:ilvl w:val="0"/>
                <w:numId w:val="5"/>
              </w:numPr>
              <w:suppressAutoHyphens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objętość / dawka</w:t>
            </w:r>
          </w:p>
          <w:p w14:paraId="09D75BDA" w14:textId="7A68DF2E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czas lub szybkość podaży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EB6B20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6BFF8C4A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0816967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7EE4" w14:textId="2446D08A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Automatyczna zmniejszenie szybkości podaży bolusa, w celu uniknięcia przerwania infuzji na skutek alarmu okluzji.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0D1CF03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227F337F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9CE4E8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AF61B" w14:textId="77777777" w:rsidR="009A1276" w:rsidRPr="009A1276" w:rsidRDefault="009A1276" w:rsidP="009A1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Możliwość wgrania do pompy biblioteki leków złożonej z procedur dozowania zawierających co najmniej:</w:t>
            </w:r>
          </w:p>
          <w:p w14:paraId="5E803795" w14:textId="77777777" w:rsidR="009A1276" w:rsidRPr="009A1276" w:rsidRDefault="009A1276" w:rsidP="009A1276">
            <w:pPr>
              <w:numPr>
                <w:ilvl w:val="0"/>
                <w:numId w:val="6"/>
              </w:numPr>
              <w:suppressAutoHyphens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nazwy leku,</w:t>
            </w:r>
          </w:p>
          <w:p w14:paraId="77E13DCB" w14:textId="77777777" w:rsidR="009A1276" w:rsidRPr="009A1276" w:rsidRDefault="009A1276" w:rsidP="009A1276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10 koncentracji leku,</w:t>
            </w:r>
          </w:p>
          <w:p w14:paraId="170C9FD1" w14:textId="77777777" w:rsidR="009A1276" w:rsidRPr="009A1276" w:rsidRDefault="009A1276" w:rsidP="009A1276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szybkości dozowania (dawkowanie),</w:t>
            </w:r>
          </w:p>
          <w:p w14:paraId="5A5BCD32" w14:textId="77777777" w:rsidR="009A1276" w:rsidRPr="009A1276" w:rsidRDefault="009A1276" w:rsidP="009A1276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całkowitej objętości (dawki) infuzji,</w:t>
            </w:r>
          </w:p>
          <w:p w14:paraId="0EDBE0D1" w14:textId="77777777" w:rsidR="009A1276" w:rsidRPr="009A1276" w:rsidRDefault="009A1276" w:rsidP="009A1276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lastRenderedPageBreak/>
              <w:t>parametrów bolusa, oraz dawki indukcyjnej,</w:t>
            </w:r>
          </w:p>
          <w:p w14:paraId="244C69C0" w14:textId="77777777" w:rsidR="009A1276" w:rsidRPr="009A1276" w:rsidRDefault="009A1276" w:rsidP="009A1276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limitów dla wymienionych parametrów infuzji:</w:t>
            </w:r>
          </w:p>
          <w:p w14:paraId="2281AA97" w14:textId="77777777" w:rsidR="009A1276" w:rsidRPr="009A1276" w:rsidRDefault="009A1276" w:rsidP="009A1276">
            <w:pPr>
              <w:numPr>
                <w:ilvl w:val="1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 xml:space="preserve">miękkich, ostrzegających o przekroczeniu zalecanych wartości parametrów, </w:t>
            </w:r>
          </w:p>
          <w:p w14:paraId="637A3367" w14:textId="77777777" w:rsidR="009A1276" w:rsidRPr="009A1276" w:rsidRDefault="009A1276" w:rsidP="009A1276">
            <w:pPr>
              <w:numPr>
                <w:ilvl w:val="1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twardych – blokujących możliwość wprowadzenia wartości spoza ich zakresu.</w:t>
            </w:r>
          </w:p>
          <w:p w14:paraId="6212DA5F" w14:textId="77777777" w:rsidR="009A1276" w:rsidRPr="009A1276" w:rsidRDefault="009A1276" w:rsidP="009A1276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Notatki doradczej możliwej do odczytania przed rozpoczęciem infuzji.</w:t>
            </w:r>
          </w:p>
          <w:p w14:paraId="08505431" w14:textId="77777777" w:rsidR="009A1276" w:rsidRPr="009A1276" w:rsidRDefault="009A1276" w:rsidP="009A1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Podział biblioteki na osobne grupy dedykowane poszczególnym oddziałom szpitalnym, do 40 oddziałów. Wybór oddziału dostępny w pompie.</w:t>
            </w:r>
          </w:p>
          <w:p w14:paraId="0CBAA1F0" w14:textId="77777777" w:rsidR="009A1276" w:rsidRPr="009A1276" w:rsidRDefault="009A1276" w:rsidP="009A1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Podział biblioteki dedykowanej oddziałom na 40 kategorii lekowych.</w:t>
            </w:r>
          </w:p>
          <w:p w14:paraId="3006799E" w14:textId="6EE32843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Pojemność biblioteki 4000 procedur dozowania leków.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745F78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421ADDD7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71002F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D7E1" w14:textId="1B8C7566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Dostępność polskojęzycznego oprogramowania komputerowego do tworzenia i przesyłania do pompy biblioteki leków.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20698A6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249FC6FB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A899C04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829F" w14:textId="77777777" w:rsidR="009A1276" w:rsidRPr="009A1276" w:rsidRDefault="009A1276" w:rsidP="009A127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Ekran infuzji umożliwiający wyświetlenie następujących informacji jednocześnie:</w:t>
            </w:r>
          </w:p>
          <w:p w14:paraId="3B201349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nazwa leku,</w:t>
            </w:r>
          </w:p>
          <w:p w14:paraId="5890A55E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koncentracja leku,</w:t>
            </w:r>
          </w:p>
          <w:p w14:paraId="4024FCC9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szybkość infuzji,</w:t>
            </w:r>
          </w:p>
          <w:p w14:paraId="66028B9A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informacji, że wartość szybkości infuzji mieści się w zalecanym zakresie lub znajduje się w zakresie limitu miękkiego dolnego lub górnego,</w:t>
            </w:r>
          </w:p>
          <w:p w14:paraId="0AB271F5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podana dawka,</w:t>
            </w:r>
          </w:p>
          <w:p w14:paraId="7ACA83C4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poziom limitów dla szybkości infuzji,</w:t>
            </w:r>
          </w:p>
          <w:p w14:paraId="462DE625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czas do końca dawki lub czas do końca strzykawki w formie graficznej,</w:t>
            </w:r>
          </w:p>
          <w:p w14:paraId="69E301AA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kategorii leku wyodrębnionej kolorem,</w:t>
            </w:r>
          </w:p>
          <w:p w14:paraId="44C3C9FF" w14:textId="77777777" w:rsidR="009A1276" w:rsidRPr="009A1276" w:rsidRDefault="009A1276" w:rsidP="009A1276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stan naładowania akumulatora,</w:t>
            </w:r>
          </w:p>
          <w:p w14:paraId="0C333B3E" w14:textId="2629236A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aktualne ciśnienie w linii pacjenta w formie graficznej.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47481AE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72FF4E73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27004CA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4661E" w14:textId="134062F1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Ekran dotykowy, przyspieszający wybór funkcji pompy.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E513C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3D9EA2EA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ADE6A2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9A16" w14:textId="28206B54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Calibri" w:hAnsi="Calibri"/>
                <w:sz w:val="20"/>
                <w:szCs w:val="20"/>
              </w:rPr>
              <w:t>Kolorystyczne wyróżnienie ekranu infuzji do żywienia dojelitowego względem innych realizowanych infuzji.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A5118A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4FE9FD97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9DD1891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46C96" w14:textId="7EC23CB2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Napisy na wyświetlaczu w języku polskim.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C67E59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1D5D56E2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B157307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8F30" w14:textId="7C9F67EE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Regulowane progi ciśnienia okluzji, 12 poziomów.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183EE64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5F5F0780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0D23689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2C64A" w14:textId="0A630BA0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Progi ciśnienia regulowane w zakresie 75-900 mmHg.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2FDD849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08D053FD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A885BF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A6EF" w14:textId="14C1BDD6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Zmiana progu ciśnienia okluzji bez przerywania infuzji.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5401A8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3D1C7AF2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B82411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C8C01" w14:textId="679C83DF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 xml:space="preserve">Automatyczna redukcja bolusa </w:t>
            </w:r>
            <w:proofErr w:type="spellStart"/>
            <w:r w:rsidRPr="009A1276">
              <w:rPr>
                <w:rFonts w:ascii="Times New Roman" w:hAnsi="Times New Roman"/>
                <w:sz w:val="20"/>
                <w:szCs w:val="20"/>
              </w:rPr>
              <w:t>okluzyjnego</w:t>
            </w:r>
            <w:proofErr w:type="spellEnd"/>
            <w:r w:rsidRPr="009A12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7A3AC79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4E0FD5E3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B640509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DFC5" w14:textId="7A7BE6A3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Priorytetowy system alarmów, zapewniający zróżnicowany sygnał dźwiękowy i świetlny, zależnie od stopnia zagrożenia.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9925692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4D40E91E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8C3B834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BF93E" w14:textId="77777777" w:rsidR="009A1276" w:rsidRPr="009A1276" w:rsidRDefault="009A1276" w:rsidP="009A1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Możliwość instalacji pompy w stacji dokującej:</w:t>
            </w:r>
          </w:p>
          <w:p w14:paraId="43A5AD71" w14:textId="77777777" w:rsidR="009A1276" w:rsidRPr="009A1276" w:rsidRDefault="009A1276" w:rsidP="009A1276">
            <w:pPr>
              <w:numPr>
                <w:ilvl w:val="0"/>
                <w:numId w:val="8"/>
              </w:numPr>
              <w:suppressAutoHyphens/>
              <w:rPr>
                <w:rFonts w:ascii="Times New Roman" w:eastAsia="Arial Unicode MS" w:hAnsi="Times New Roman" w:cs="Arial Unicode MS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Zatrzaskowe mocowanie z automatyczną blokadą, bez konieczności przykręcania.</w:t>
            </w:r>
          </w:p>
          <w:p w14:paraId="45FBB3DF" w14:textId="77777777" w:rsidR="009A1276" w:rsidRPr="009A1276" w:rsidRDefault="009A1276" w:rsidP="009A1276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Alarm nieprawidłowego mocowania pomp w stacji,</w:t>
            </w:r>
          </w:p>
          <w:p w14:paraId="64305A76" w14:textId="77777777" w:rsidR="009A1276" w:rsidRPr="009A1276" w:rsidRDefault="009A1276" w:rsidP="009A1276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Pompy mocowane niezależnie, jedna nad drugą, </w:t>
            </w:r>
          </w:p>
          <w:p w14:paraId="2E0B42A6" w14:textId="77777777" w:rsidR="009A1276" w:rsidRPr="009A1276" w:rsidRDefault="009A1276" w:rsidP="009A1276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Automatyczne przyłączenie zasilania ze stacji dokującej,</w:t>
            </w:r>
          </w:p>
          <w:p w14:paraId="0108B5B9" w14:textId="77777777" w:rsidR="009A1276" w:rsidRPr="009A1276" w:rsidRDefault="009A1276" w:rsidP="009A1276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Automatyczne przyłączenie portu komunikacyjnego ze stacji dokującej,</w:t>
            </w:r>
          </w:p>
          <w:p w14:paraId="777E6114" w14:textId="46301E66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 xml:space="preserve">Świetlna sygnalizacja stanu pomp: infuzja, alarm, </w:t>
            </w:r>
            <w:r w:rsidRPr="009A1276">
              <w:rPr>
                <w:rFonts w:ascii="Calibri" w:hAnsi="Calibri"/>
                <w:sz w:val="20"/>
                <w:szCs w:val="20"/>
              </w:rPr>
              <w:t>STOP.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5F3354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1EDAD184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764653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4A4A8" w14:textId="3F0AFEA1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Mocowanie pojedynczej pompy do statywów lub pionowych kolumn niewymagające dołączenia jakichkolwiek części, w szczególności uchwytu mocującego, po bezpośrednim wyjęciu pompy z stacji dokującej.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DDBE4F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23245BFF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E662C68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26F97" w14:textId="23D7480C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Mocowanie pomp w stacji dokującej niewymagające odłączenia jakichkolwiek części, w szczególności uchwytu mocującego, po bezpośrednim zdjęciu pompy ze statywu.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3FDD94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1DAE0B97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14AA88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F9A6" w14:textId="14F3BADF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Uchwyt do przenoszenia pompy na stałe związany z pompą, niewymagający odłączania przy mocowaniu pomp w stacjach dokujących.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1C31C4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781C0DB1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33EBFD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F843" w14:textId="6554AD90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 xml:space="preserve">Możliwość komunikacji pomp umieszczonych w stacjach dokujących </w:t>
            </w:r>
            <w:r w:rsidRPr="009A1276">
              <w:rPr>
                <w:rFonts w:ascii="Times New Roman" w:hAnsi="Times New Roman"/>
                <w:kern w:val="20"/>
                <w:sz w:val="20"/>
                <w:szCs w:val="20"/>
              </w:rPr>
              <w:t xml:space="preserve">wyposażonych w </w:t>
            </w:r>
            <w:proofErr w:type="spellStart"/>
            <w:r w:rsidRPr="009A1276">
              <w:rPr>
                <w:rFonts w:ascii="Times New Roman" w:hAnsi="Times New Roman"/>
                <w:kern w:val="20"/>
                <w:sz w:val="20"/>
                <w:szCs w:val="20"/>
              </w:rPr>
              <w:t>interface</w:t>
            </w:r>
            <w:proofErr w:type="spellEnd"/>
            <w:r w:rsidRPr="009A1276">
              <w:rPr>
                <w:rFonts w:ascii="Times New Roman" w:hAnsi="Times New Roman"/>
                <w:kern w:val="20"/>
                <w:sz w:val="20"/>
                <w:szCs w:val="20"/>
              </w:rPr>
              <w:t xml:space="preserve"> LAN z oprogramowaniem zewnętrznym.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11ABF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4ABD84BE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9966E2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CB24F" w14:textId="7C93621F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Historia infuzji – możliwość zapamiętania 2000 zdarzeń oznaczonych datą i godziną zdarzenia.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21621A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4A1E9A6A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2AD485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7A6B1" w14:textId="3D284648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Klasa ochrony II, typ CF, odporność na defibrylację, ochrona obudowy IP22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32ACDF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2B31FC04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68DECF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B212" w14:textId="4D1D1E48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Zasilanie pomp mocowanych poza stacją dokującą bezpośrednio z sieci energetycznej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143495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0035F803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E59430C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E2429" w14:textId="711FA019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Czas pracy z akumulatora do 30 h przy infuzji 5ml/h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96E1C07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355B65D4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3B12E" w14:textId="654DC728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Czas ładowania akumulatora do 100% po pełnym rozładowaniu – poniżej 5 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1276" w14:paraId="6FE59442" w14:textId="77777777" w:rsidTr="00505B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9A1276" w:rsidRPr="005B4FD7" w:rsidRDefault="009A1276" w:rsidP="009A127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849C2" w14:textId="73DE2EE8" w:rsidR="009A1276" w:rsidRPr="009A1276" w:rsidRDefault="009A1276" w:rsidP="009A1276">
            <w:pPr>
              <w:jc w:val="both"/>
              <w:rPr>
                <w:sz w:val="20"/>
                <w:szCs w:val="20"/>
              </w:rPr>
            </w:pPr>
            <w:r w:rsidRPr="009A1276">
              <w:rPr>
                <w:rFonts w:ascii="Times New Roman" w:hAnsi="Times New Roman"/>
                <w:sz w:val="20"/>
                <w:szCs w:val="20"/>
              </w:rPr>
              <w:t>Waga do 2,3 kg.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9A1276" w:rsidRPr="005B4FD7" w:rsidRDefault="009A1276" w:rsidP="009A127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550F"/>
    <w:multiLevelType w:val="hybridMultilevel"/>
    <w:tmpl w:val="C9B6E882"/>
    <w:lvl w:ilvl="0" w:tplc="4A061E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33C878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9C8258A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6843996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B2A91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47609EC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B9C494A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868848E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CF662B00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DEA74E3"/>
    <w:multiLevelType w:val="hybridMultilevel"/>
    <w:tmpl w:val="00E8FB64"/>
    <w:lvl w:ilvl="0" w:tplc="B302067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746E830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E82A0F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BDA2776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5A8F762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D26EB1A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6475B2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462EAF8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3ECC6CA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90CB6"/>
    <w:multiLevelType w:val="hybridMultilevel"/>
    <w:tmpl w:val="B2560E5A"/>
    <w:lvl w:ilvl="0" w:tplc="0B3C73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FFC87AE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0887198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6A6D422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3BC7694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92AB8A2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06E345E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4DA5A28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F767A5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44BF1673"/>
    <w:multiLevelType w:val="hybridMultilevel"/>
    <w:tmpl w:val="FB66FD16"/>
    <w:lvl w:ilvl="0" w:tplc="DE0642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A04334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C822F2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86836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6A4B54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F1A58A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E4E42B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7829A7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CA0516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7C7F7AAE"/>
    <w:multiLevelType w:val="hybridMultilevel"/>
    <w:tmpl w:val="5D6EB960"/>
    <w:lvl w:ilvl="0" w:tplc="4E7A08D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3BC017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10E51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A304E4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8842CA0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56656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ADC072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1149C02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6EA6BC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7D1E36A7"/>
    <w:multiLevelType w:val="hybridMultilevel"/>
    <w:tmpl w:val="E4F87B86"/>
    <w:lvl w:ilvl="0" w:tplc="446EC3C0">
      <w:start w:val="1"/>
      <w:numFmt w:val="bullet"/>
      <w:lvlText w:val="▪"/>
      <w:lvlJc w:val="left"/>
      <w:pPr>
        <w:ind w:left="38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BF45B28">
      <w:start w:val="1"/>
      <w:numFmt w:val="bullet"/>
      <w:lvlText w:val="o"/>
      <w:lvlJc w:val="left"/>
      <w:pPr>
        <w:ind w:left="110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6A09724">
      <w:start w:val="1"/>
      <w:numFmt w:val="bullet"/>
      <w:lvlText w:val="▪"/>
      <w:lvlJc w:val="left"/>
      <w:pPr>
        <w:ind w:left="182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CD6AF76">
      <w:start w:val="1"/>
      <w:numFmt w:val="bullet"/>
      <w:lvlText w:val="•"/>
      <w:lvlJc w:val="left"/>
      <w:pPr>
        <w:ind w:left="254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DA3294">
      <w:start w:val="1"/>
      <w:numFmt w:val="bullet"/>
      <w:lvlText w:val="o"/>
      <w:lvlJc w:val="left"/>
      <w:pPr>
        <w:ind w:left="326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6962A56">
      <w:start w:val="1"/>
      <w:numFmt w:val="bullet"/>
      <w:lvlText w:val="▪"/>
      <w:lvlJc w:val="left"/>
      <w:pPr>
        <w:ind w:left="398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470CBEE">
      <w:start w:val="1"/>
      <w:numFmt w:val="bullet"/>
      <w:lvlText w:val="•"/>
      <w:lvlJc w:val="left"/>
      <w:pPr>
        <w:ind w:left="470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38CE82">
      <w:start w:val="1"/>
      <w:numFmt w:val="bullet"/>
      <w:lvlText w:val="o"/>
      <w:lvlJc w:val="left"/>
      <w:pPr>
        <w:ind w:left="542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834D15A">
      <w:start w:val="1"/>
      <w:numFmt w:val="bullet"/>
      <w:lvlText w:val="▪"/>
      <w:lvlJc w:val="left"/>
      <w:pPr>
        <w:ind w:left="614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485513610">
    <w:abstractNumId w:val="2"/>
  </w:num>
  <w:num w:numId="2" w16cid:durableId="148369217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54665289">
    <w:abstractNumId w:val="6"/>
    <w:lvlOverride w:ilvl="0">
      <w:lvl w:ilvl="0" w:tplc="446EC3C0">
        <w:start w:val="1"/>
        <w:numFmt w:val="decimal"/>
        <w:lvlText w:val="▪"/>
        <w:lvlJc w:val="left"/>
        <w:pPr>
          <w:ind w:left="38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3BF45B28">
        <w:start w:val="1"/>
        <w:numFmt w:val="decimal"/>
        <w:lvlText w:val="o"/>
        <w:lvlJc w:val="left"/>
        <w:pPr>
          <w:ind w:left="110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66A09724">
        <w:start w:val="1"/>
        <w:numFmt w:val="decimal"/>
        <w:lvlText w:val="▪"/>
        <w:lvlJc w:val="left"/>
        <w:pPr>
          <w:ind w:left="182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CD6AF76">
        <w:start w:val="1"/>
        <w:numFmt w:val="decimal"/>
        <w:lvlText w:val="•"/>
        <w:lvlJc w:val="left"/>
        <w:pPr>
          <w:ind w:left="254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D1DA3294">
        <w:start w:val="1"/>
        <w:numFmt w:val="decimal"/>
        <w:lvlText w:val="o"/>
        <w:lvlJc w:val="left"/>
        <w:pPr>
          <w:ind w:left="326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B6962A56">
        <w:start w:val="1"/>
        <w:numFmt w:val="decimal"/>
        <w:lvlText w:val="▪"/>
        <w:lvlJc w:val="left"/>
        <w:pPr>
          <w:ind w:left="398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B470CBEE">
        <w:start w:val="1"/>
        <w:numFmt w:val="decimal"/>
        <w:lvlText w:val="•"/>
        <w:lvlJc w:val="left"/>
        <w:pPr>
          <w:ind w:left="470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FF38CE82">
        <w:start w:val="1"/>
        <w:numFmt w:val="decimal"/>
        <w:lvlText w:val="o"/>
        <w:lvlJc w:val="left"/>
        <w:pPr>
          <w:ind w:left="542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E834D15A">
        <w:start w:val="1"/>
        <w:numFmt w:val="decimal"/>
        <w:lvlText w:val="▪"/>
        <w:lvlJc w:val="left"/>
        <w:pPr>
          <w:ind w:left="614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" w16cid:durableId="50305930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7895355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0388844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3153172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6527477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116A9"/>
    <w:rsid w:val="000777FF"/>
    <w:rsid w:val="00143FE4"/>
    <w:rsid w:val="00256050"/>
    <w:rsid w:val="003449FB"/>
    <w:rsid w:val="003B7A3A"/>
    <w:rsid w:val="0055707E"/>
    <w:rsid w:val="005B4FD7"/>
    <w:rsid w:val="00621E9A"/>
    <w:rsid w:val="0091305E"/>
    <w:rsid w:val="009A1276"/>
    <w:rsid w:val="00A16DE5"/>
    <w:rsid w:val="00A20625"/>
    <w:rsid w:val="00A37111"/>
    <w:rsid w:val="00AA2CDC"/>
    <w:rsid w:val="00B9437E"/>
    <w:rsid w:val="00C419B8"/>
    <w:rsid w:val="00CA08C7"/>
    <w:rsid w:val="00CC31AC"/>
    <w:rsid w:val="00CD3C32"/>
    <w:rsid w:val="00CF6F8F"/>
    <w:rsid w:val="00D13235"/>
    <w:rsid w:val="00DE35A5"/>
    <w:rsid w:val="00E27CD1"/>
    <w:rsid w:val="00F40BC9"/>
    <w:rsid w:val="00F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andard">
    <w:name w:val="Standard"/>
    <w:rsid w:val="00C419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uiPriority w:val="99"/>
    <w:rsid w:val="00C419B8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C419B8"/>
    <w:pPr>
      <w:widowControl w:val="0"/>
      <w:suppressAutoHyphens/>
      <w:spacing w:before="280" w:after="28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419B8"/>
    <w:pPr>
      <w:widowControl w:val="0"/>
      <w:suppressAutoHyphens/>
      <w:spacing w:before="280" w:after="280" w:line="100" w:lineRule="atLeast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4370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2024-11-08T12:06:00Z</dcterms:created>
  <dcterms:modified xsi:type="dcterms:W3CDTF">2024-11-08T12:07:00Z</dcterms:modified>
</cp:coreProperties>
</file>