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722DD17A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BC5BF2" w:rsidRPr="00BC5BF2">
        <w:rPr>
          <w:b/>
          <w:bCs/>
          <w:iCs/>
          <w:color w:val="000000" w:themeColor="text1"/>
        </w:rPr>
        <w:t>8</w:t>
      </w:r>
      <w:r w:rsidRPr="00BC5BF2">
        <w:rPr>
          <w:b/>
          <w:bCs/>
          <w:iCs/>
          <w:color w:val="000000" w:themeColor="text1"/>
        </w:rPr>
        <w:t xml:space="preserve"> – </w:t>
      </w:r>
      <w:r w:rsidR="00BC5BF2" w:rsidRPr="00BC5BF2">
        <w:rPr>
          <w:b/>
          <w:bCs/>
          <w:iCs/>
          <w:color w:val="000000" w:themeColor="text1"/>
        </w:rPr>
        <w:t>POJEDY</w:t>
      </w:r>
      <w:r w:rsidR="00DD2774">
        <w:rPr>
          <w:b/>
          <w:bCs/>
          <w:iCs/>
          <w:color w:val="000000" w:themeColor="text1"/>
        </w:rPr>
        <w:t>N</w:t>
      </w:r>
      <w:r w:rsidR="00BC5BF2" w:rsidRPr="00BC5BF2">
        <w:rPr>
          <w:b/>
          <w:bCs/>
          <w:iCs/>
          <w:color w:val="000000" w:themeColor="text1"/>
        </w:rPr>
        <w:t>CZY ZBIERACZ ODPADÓW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BC5BF2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BC5BF2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BC5BF2" w14:paraId="66A47473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429853A1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>Stelaż pojedynczy na brudną bieliznę lub odpady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2B87F45A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68CD0EBE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Konstrukcja z rurki ze stali nierdzewnej o średnicy min. 20 mm, całkowicie spawanej, bez śrub i połączeń, gdzie może gromadzić się brud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1AED5336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1DBB8543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>Stelaż wyposażony w 1 uchwyt- kołnierz gumowy zawijany na zakładkę do zamocowania worków foliowych lub materiałowych o pojemności 70-120 l, niedopuszczalne jest stosowanie klipsów przytrzymujących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7F261E90" w14:textId="77777777" w:rsidTr="00BC5BF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3DF426F1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>Stelaż z pokrywą z tworzywa ABS w kolorze do wyboru przez Zamawiającego (min. 8 kolorów)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6CE626F2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5A86CFF4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>Pokrywa podnoszona pedałowo, z możliwością regulacji stopnia otwarcia pokrywy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355B65D4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00E4ACC5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>Mechanizm spowalniający opadanie pokrywy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6FE59442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5FC4AEF9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>Mechanizm pedału skonstruowany tak, że jego przyciśnięcie hamuje stelaż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5C924FFB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17796326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>4 kółka obrotowe o średnicy 75-100 mm, z szarym, termoplastycznym ogumieniem, niebrudzące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C5BF2" w14:paraId="2FA417F8" w14:textId="77777777" w:rsidTr="00BC5B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BC5BF2" w:rsidRPr="005B4FD7" w:rsidRDefault="00BC5BF2" w:rsidP="00BC5BF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26DD5BD5" w:rsidR="00BC5BF2" w:rsidRPr="00BC5BF2" w:rsidRDefault="00BC5BF2" w:rsidP="00BC5BF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C5BF2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Wymiar: 410 x 495 x 950 mm (szer. x gł. x wys.), +/- 10 mm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BC5BF2" w:rsidRPr="005B4FD7" w:rsidRDefault="00BC5BF2" w:rsidP="00BC5BF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40181F"/>
    <w:rsid w:val="0055707E"/>
    <w:rsid w:val="005B4FD7"/>
    <w:rsid w:val="00621E9A"/>
    <w:rsid w:val="00A16DE5"/>
    <w:rsid w:val="00A20625"/>
    <w:rsid w:val="00BC5BF2"/>
    <w:rsid w:val="00C12297"/>
    <w:rsid w:val="00CA08C7"/>
    <w:rsid w:val="00CD3C32"/>
    <w:rsid w:val="00CF6F8F"/>
    <w:rsid w:val="00DD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</Words>
  <Characters>1224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2024-11-08T13:15:00Z</dcterms:modified>
</cp:coreProperties>
</file>