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9C4E5C">
        <w:rPr>
          <w:rFonts w:ascii="Calibri" w:hAnsi="Calibri" w:cs="Calibri"/>
          <w:b/>
          <w:sz w:val="22"/>
          <w:szCs w:val="22"/>
        </w:rPr>
        <w:t>15</w:t>
      </w:r>
      <w:r w:rsidR="001B49E3">
        <w:rPr>
          <w:rFonts w:ascii="Calibri" w:hAnsi="Calibri" w:cs="Calibri"/>
          <w:b/>
          <w:sz w:val="22"/>
          <w:szCs w:val="22"/>
        </w:rPr>
        <w:t>.11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70085E">
        <w:rPr>
          <w:rFonts w:ascii="Calibri" w:hAnsi="Calibri" w:cs="Calibri"/>
          <w:b/>
          <w:sz w:val="22"/>
          <w:szCs w:val="22"/>
        </w:rPr>
        <w:t>12</w:t>
      </w:r>
      <w:r w:rsidR="009C4E5C">
        <w:rPr>
          <w:rFonts w:ascii="Calibri" w:hAnsi="Calibri" w:cs="Calibri"/>
          <w:b/>
          <w:sz w:val="22"/>
          <w:szCs w:val="22"/>
        </w:rPr>
        <w:t>5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9C4E5C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aparatury medycznej, sprzętu laboratoryjnego, macierzy dyskowej i </w:t>
      </w:r>
      <w:proofErr w:type="spellStart"/>
      <w:r w:rsidR="009C4E5C">
        <w:rPr>
          <w:rFonts w:ascii="Calibri" w:eastAsia="Calibri" w:hAnsi="Calibri" w:cs="Calibri"/>
          <w:b/>
          <w:iCs/>
          <w:sz w:val="22"/>
          <w:szCs w:val="22"/>
          <w:lang w:eastAsia="en-US"/>
        </w:rPr>
        <w:t>agregometru</w:t>
      </w:r>
      <w:proofErr w:type="spellEnd"/>
      <w:r w:rsidR="009C4E5C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w 5-ciu pakietach</w:t>
      </w:r>
      <w:r w:rsidR="00BA4DE5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dla Gdańskiego Uniwersytetu Medycznego.</w:t>
      </w:r>
      <w:r w:rsidR="00720B00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P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– Defibrylator do nauki zaawansowanych procedur ratowniczych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na zasadzie równoważności dopuści do zaoferowania urządzenia o parametrach technicznych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jn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.: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Wingdings" w:eastAsiaTheme="minorHAnsi" w:hAnsi="Wingdings" w:cs="Wingdings"/>
          <w:color w:val="000000"/>
          <w:sz w:val="20"/>
          <w:szCs w:val="20"/>
          <w:lang w:eastAsia="en-US"/>
        </w:rPr>
      </w:pP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 uwagi na fakt, że przeznaczeniem defibrylatora jest nauka zaawansowanych procedur ratowniczych chcielibyśmy zaoferować defibrylator, który został wyposażony w szereg unikalnych rozwiązań wspomagających w czasie rzeczywistym ratownika w ciągłym prowadzeniu wysokiej jakości RKO. Technologie zastosowane w oferowanym urządzeniu dostarczają dźwiękowe i wizualne informacje zwrotne o najistotniejszych parametrach wskazanych przez Wytyczne RKO ERC 2021 jako wpływające na skuteczność RKO: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głębokości uciśnięć kl. p. zarówno u pacjenta jak i na manekinie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częstości uciśnięć kl. p. zarówno u pacjenta jak i na manekinie oraz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stopniu relaksacji klatki piersiowej zarówno u pacjenta jak i na manekinie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czasie do końca pętli RKO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czasie przerwy w uciśnięciach kl. p.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jakości wentylacji w zakresie ilości oddechów na minutę (przy pracy z workiem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samorozprężalnym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zarówno u pacjentów zaintubowanych jak i niezaintubowanych)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jakości wentylacji w zakresie objętości wentylacji (przy pracy z workiem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samorozprężalnym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zarówno u pacjentów zaintubowanych jak i niezaintubowanych)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 możliwością transferu danych do programu analitycznego obrazującego jakość wykonywanych czynności, co umożliwia przeprowadzenie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debriefingu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zaraz po zakończeniu akcji „hot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debriefing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” lub porównaniu wyników z innymi zdarzeniami „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cold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debriefing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”.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dodatkowo wizualny wskaźnik perfuzji (PPI) informuje o zgodności kombinacji częstości i głębokości uciśnięć z zaleceniami Wytycznych.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 funkcją monitorowania w czasie pacjentów zagrożonych wtórnym urazem mózgu (TBI – Trauma Brain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Injury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),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Monitorowanie EKG w zakresie 4 i 12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odpr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jednocześnie na ekranie i na wydruku wraz z analizą i interpretacją - przewody dla 6 i 12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odprowadzeń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Defibrylator ten charakteryzuje się dodatkowo poniższymi parametrami: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Rodzaj fali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defibrylacyjnej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– dwufazowa z automatycznym pomiarem i kompensacją impedancji klatki piersiowej zarówno przy defibrylacji z łyżek twardych jak i łyżek miękkich (elektrody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defibrylacyjne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),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Defibrylacja ręczna i tryb AED zarówno dla pacjentów pediatrycznych jak i dorosłych (producent zaleca stosowanie wszystkie tryby defibrylacji do wszystkich pacjentów),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lastRenderedPageBreak/>
        <w:t xml:space="preserve">• Urządzenie posiada wbudowany aktywny metronom (włącza się w momencie odstępstw częstości uciśnięć od zalecanych lub stały) z ustawioną częstością zalecaną przez AHA/ERC. Dodatkowo na ekranie monitora widnieje wskaźnik liczbowy częstości aktualnie wykonywanych uciśnięć.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Urządzenie wyposażone w trybie AED w algorytm wykrywający ruch pacjenta.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Zakres wyboru energii w J 1-200 J. z dwufazowym niskoenergetyczny impulsem (impuls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rektalinearny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) generującym najwyższą średnią wartość prądu; ze stałym czasem impulsu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defibrylacyjnego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co zapewnia dostarczenie właściwego prądu (A) zależnie od impedancji pacjenta oraz w mniejszym stopniu uszkadza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miokardium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Zakres wyboru energii 120J-200J , w trybie AED.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20 stopni regulacji energii defibrylacji w zakresie od 1J, co daje swobodę regulacji energii defibrylacji również w przypadku pacjentów pediatrycznych.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Czas ładowania do energii 200 J mniej niż 7 sekund, z filtrowaniem EKG podczas RKO umożliwiającym wcześniejszą analizę rytmu pacjenta i naładowanie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Co najmniej 300 wyładowań przy maksymalnej energii wstrząsu.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Szerokoczasowa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(40 ms) fala impulsu stymulacyjnego, która jest co najmniej równoważna do opisanej technologii, a cechuje się innymi parametrami pracy: </w:t>
      </w:r>
    </w:p>
    <w:p w:rsidR="009C4E5C" w:rsidRPr="009C4E5C" w:rsidRDefault="009C4E5C" w:rsidP="009C4E5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Wybór natężenia prądu w zakresie 0-140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mA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Urządzenie pracujące w technologii stymulacji 40ms, który jest skuteczniejszy niż impuls 20ms lub 5 ms jakie są stosowane przez innych producentów defibrylatorów, przy jednoczesnym zaoferowaniu zakresu 30 – 180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imp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./min. oferuje szersze możliwości terapeutyczne.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przypadku zastosowania szerszego impulsu stymulacyjnego nie ma konieczności stosowania wyższych energii. Stosowanie wyższych energii jest niekorzystne dla pacjenta: większa natężenie bólu i powoduje powikłania wynikające z przepływu prądu przez komórki. Dalszym efektem jest konieczność walki z bólem, co w następstwie powoduje konieczność stosowania większych dawek silnych środków do analgezji i sedacji, co z kolei pociąga za sobą większe obciążenie dla organizmu i konieczność dłuższego pozostawania pod ścisłą opieką medyczną na łóżku stale monitorowanym po zakończonym zabiegu. Warto nadmienić, że procedury medyczne i Wytyczne nie określają poziomów stymulacji, a mówią wyraźnie o efektywności prowadzonej stymulacji. Przy szerszym impulsie efektywność osiągana jest przy znacznie niższych poziomach energii.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Ekran monitora kolorowy.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Przekątna ekranu monitora 6,5 cala z funkcja automatycznej zmiany widoku w zależności od uruchamianych funkcji monitorujących stan pacjenta,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Zasilanie sieciowo – akumulatorowe.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Możliwość wykonania kardiowersji.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Ciężar defibrylatora wraz z akumulatorem 5,3 kg.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Możliwość zachowania do 150 przypadków pełnej jawności, 32 zrzuty monitora, 500 zdarzeń innych niż EKG, 24 godziny ciągłego zapisu EKG (4 krzywe), kapnografii, IBP (3 kanały) i danych o impedancji pacjenta. </w:t>
      </w:r>
    </w:p>
    <w:p w:rsidR="009C4E5C" w:rsidRPr="009C4E5C" w:rsidRDefault="009C4E5C" w:rsidP="009C4E5C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Możliwość defibrylacji dorosłych i dzieci z funkcją automatycznej redukcji energii defibrylacji przy pracy w trybie pediatrycznym, </w:t>
      </w:r>
    </w:p>
    <w:p w:rsidR="009C4E5C" w:rsidRPr="009C4E5C" w:rsidRDefault="009C4E5C" w:rsidP="00CD2F1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Wydruk zapisu na papierze o szerokości 8 cm. </w:t>
      </w:r>
    </w:p>
    <w:p w:rsidR="009C4E5C" w:rsidRPr="009C4E5C" w:rsidRDefault="009C4E5C" w:rsidP="009C4E5C">
      <w:pPr>
        <w:pageBreakBefore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9C4E5C" w:rsidRPr="009C4E5C" w:rsidRDefault="009C4E5C" w:rsidP="009C4E5C">
      <w:pPr>
        <w:autoSpaceDE w:val="0"/>
        <w:autoSpaceDN w:val="0"/>
        <w:adjustRightInd w:val="0"/>
        <w:spacing w:after="29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Stały kontrola gotowości do pracy -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autotest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bez udziału użytkownika, bez konieczności manualnego włączania urządzenia. </w:t>
      </w:r>
    </w:p>
    <w:p w:rsidR="009C4E5C" w:rsidRPr="009C4E5C" w:rsidRDefault="009C4E5C" w:rsidP="009C4E5C">
      <w:pPr>
        <w:autoSpaceDE w:val="0"/>
        <w:autoSpaceDN w:val="0"/>
        <w:adjustRightInd w:val="0"/>
        <w:spacing w:after="29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Zakres pomiaru tętna 20-300 u/min. Zakres wystarczający do oceny wszystkich arytmii. </w:t>
      </w:r>
    </w:p>
    <w:p w:rsidR="009C4E5C" w:rsidRPr="009C4E5C" w:rsidRDefault="009C4E5C" w:rsidP="009C4E5C">
      <w:pPr>
        <w:autoSpaceDE w:val="0"/>
        <w:autoSpaceDN w:val="0"/>
        <w:adjustRightInd w:val="0"/>
        <w:spacing w:after="29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 możliwością ręcznego ustawienia wartości alarmów każdej monitorowanego parametru oddzielnie lub dostosowania do stanu pacjenta, </w:t>
      </w:r>
    </w:p>
    <w:p w:rsidR="009C4E5C" w:rsidRPr="009C4E5C" w:rsidRDefault="009C4E5C" w:rsidP="009C4E5C">
      <w:pPr>
        <w:autoSpaceDE w:val="0"/>
        <w:autoSpaceDN w:val="0"/>
        <w:adjustRightInd w:val="0"/>
        <w:spacing w:after="29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 analizą rytm EKG pod kątem wykrywania rytmów zagrażających życiu w czasie rzeczywistym, </w:t>
      </w:r>
    </w:p>
    <w:p w:rsidR="009C4E5C" w:rsidRPr="009C4E5C" w:rsidRDefault="009C4E5C" w:rsidP="009C4E5C">
      <w:pPr>
        <w:autoSpaceDE w:val="0"/>
        <w:autoSpaceDN w:val="0"/>
        <w:adjustRightInd w:val="0"/>
        <w:spacing w:after="29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• Dostępne poziomy wzmocnienia: 0,125, 0,5, 1,0, 2,0, 3,0, 4,0 cm/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mV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zmieniane automatycznie lub ręcznie. </w:t>
      </w:r>
    </w:p>
    <w:p w:rsidR="009C4E5C" w:rsidRPr="009C4E5C" w:rsidRDefault="009C4E5C" w:rsidP="009C4E5C">
      <w:pPr>
        <w:autoSpaceDE w:val="0"/>
        <w:autoSpaceDN w:val="0"/>
        <w:adjustRightInd w:val="0"/>
        <w:spacing w:after="29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 wbudowaną łączności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WiFi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i </w:t>
      </w:r>
      <w:proofErr w:type="spellStart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bluetooth</w:t>
      </w:r>
      <w:proofErr w:type="spellEnd"/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9C4E5C" w:rsidRPr="009C4E5C" w:rsidRDefault="009C4E5C" w:rsidP="009C4E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C4E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Możliwość rozbudowy o moduł EtCO2. 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720B00" w:rsidRDefault="009C4E5C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Zgodnie z SWZ, Zamawiający podtrzymuje wcześniejsze zapisy.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Pakiet 1 – Defibrylator do nauki zaawansowanych procedur ratowniczych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Czy Zamawiający na zasadzie równoważności dopuści do zaoferowania urządzenia o parametrach technicznych 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jn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.: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 uwagi na fakt, że przeznaczeniem defibrylatora jest nauka zaawansowanych procedur ratowniczych chcielibyśmy zaoferować defibrylator, który został wyposażony w szereg unikalnych rozwiązań wspomagających w czasie rzeczywistym ratownika w ciągłym prowadzeniu wysokiej jakości RKO. Technologie zastosowane w oferowanym urządzeniu dostarczają dźwiękowe i wizualne informacje zwrotne o najistotniejszych parametrach wskazanych przez Wytyczne RKO ERC 2021 jako wpływające na skuteczność RKO: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głębokości uciśnięć kl. p. zarówno u pacjenta jak i na manekinie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częstości uciśnięć kl. p. zarówno u pacjenta jak i na manekinie oraz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stopniu relaksacji klatki piersiowej zarówno u pacjenta jak i na manekinie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czasie do końca pętli RKO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czasie przerwy w uciśnięciach kl. p.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z możliwością transferu danych do programu analitycznego obrazującego jakość wykonywanych czynności, co umożliwia przeprowadzenie 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debriefingu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zaraz po zakończeniu akcji „hot 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debriefing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” lub porównaniu wyników z innymi zdarzeniami „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cold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debriefing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”.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dodatkowo wizualny wskaźnik perfuzji (PPI) informuje o zgodności kombinacji częstości i głębokości uciśnięć z zaleceniami Wytycznych.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Monitorowanie EKG w zakresie 3 i 7 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odpr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Defibrylator ten charakteryzuje się dodatkowo poniższymi parametrami: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Rodzaj fali 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defibrylacyjnej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– dwufazowa z automatycznym pomiarem i kompensacją impedancji klatki piersiowej zarówno przy defibrylacji z łyżek twardych jak i łyżek miękkich (elektrody </w:t>
      </w:r>
      <w:proofErr w:type="spellStart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defibrylacyjne</w:t>
      </w:r>
      <w:proofErr w:type="spellEnd"/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),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• Defibrylacja ręczna i tryb AED zarówno dla pacjentów pediatrycznych jak i dorosłych (producent zaleca stosowanie wszystkie tryby defibrylacji do wszystkich pacjentów),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• Urządzenie posiada wbudowany aktywny metronom (włącza się w momencie odstępstw częstości uciśnięć od zalecanych lub stały) z ustawioną częstością zalecaną przez AHA/ERC.</w:t>
      </w: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Dodatkowo na ekranie monitora widnieje wskaźnik liczbowy częstości aktualnie wykonywanych uciśnięć.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Urządzenie wyposażone w trybie AED w algorytm wykrywający ruch pacjenta.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Zakres wyboru energii w J 1-200 J. z dwufazowym niskoenergetyczny impulsem generującym najwyższą średnią wartość prądu; ze stałym czasem impulsu 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defibrylacyjnego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co zapewnia dostarczenie właściwego prądu (A) niezależnie od impedancji pacjenta oraz w mniejszym stopniu uszkadza 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miokardium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Zakres wyboru energii 120J-200J, w trybie AED.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lastRenderedPageBreak/>
        <w:t xml:space="preserve">• 20 stopni regulacji energii defibrylacji w zakresie od 1J, co daje swobodę regulacji energii defibrylacji w przypadku pacjentów pediatrycznych.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Czas ładowania do energii 200 J mniej niż 7 sekund.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100 defibrylacji z maksymalną energią (200 J) lub 4 godz. ciągłego monitorowania EKG.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Szerokoczasowa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(40 ms) fala impulsu stymulacyjnego, która jest co najmniej równoważna do opisanej technologii, a cechuje się innymi parametrami pracy: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Wybór natężenia prądu w zakresie 0-140 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mA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Urządzenie pracujące w technologii stymulacji 40ms, który jest skuteczniejszy niż impuls 20ms lub 5 ms jakie są stosowane przez innych producentów defibrylatorów, przy jednoczesnym zaoferowaniu zakresu 30 – 180 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imp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./min. oferuje szersze możliwości terapeutyczne. </w:t>
      </w:r>
    </w:p>
    <w:p w:rsidR="00921BB4" w:rsidRPr="00921BB4" w:rsidRDefault="00921BB4" w:rsidP="00921BB4">
      <w:pPr>
        <w:pStyle w:val="Default"/>
        <w:jc w:val="both"/>
        <w:rPr>
          <w:sz w:val="20"/>
          <w:szCs w:val="20"/>
        </w:rPr>
      </w:pPr>
      <w:r w:rsidRPr="00921BB4">
        <w:rPr>
          <w:sz w:val="20"/>
          <w:szCs w:val="20"/>
        </w:rPr>
        <w:t xml:space="preserve">W przypadku zastosowania szerszego impulsu stymulacyjnego nie ma konieczności stosowania wyższych energii. Stosowanie wyższych energii jest niekorzystne dla pacjenta: większa natężenie bólu i powoduje powikłania wynikające z przepływu prądu przez komórki. Dalszym efektem jest konieczność walki z bólem, co w następstwie powoduje konieczność stosowania większych dawek silnych środków do analgezji i sedacji, co z kolei pociąga za sobą większe obciążenie dla organizmu i konieczność dłuższego pozostawania pod ścisłą opieką medyczną na łóżku stale monitorowanym po zakończonym zabiegu. Warto nadmienić, że procedury medyczne i Wytyczne nie określają poziomów stymulacji, a mówią wyraźnie o efektywności prowadzonej stymulacji. Przy szerszym impulsie efektywność osiągana jest przy znacznie niższych poziomach energii.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Ekran monitora kolorowy.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Przekątna ekranu monitora 6,5 cala z funkcja automatycznej zmiany widoku w zależności od uruchamianych funkcji monitorujących stan pacjenta,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Zasilanie sieciowo – akumulatorowe.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Możliwość wykonania kardiowersji.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Ciężar defibrylatora wraz z akumulatorem 6,2 kg.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Pamięć przydzielona dla danych podsumowujących może pomieścić do 350 defibrylacji lub 350 zdarzeń związanych z aktywacją drukarki.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Możliwość defibrylacji dorosłych i dzieci z funkcją automatycznej redukcji energii defibrylacji przy pracy w trybie pediatrycznym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Wydruk zapisu na papierze o szerokości 8 cm.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Stała kontrola gotowości do pracy - 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autotest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bez udziału użytkownika, bez konieczności manualnego włączania urządzenia.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Zakres pomiaru tętna 30-300 u/min. Zakres wystarczający do oceny wszystkich arytmii.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 możliwością ręcznego ustawienia wartości alarmów każdej monitorowanego parametru oddzielnie lub dostosowania do stanu pacjenta,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Z analizą rytmu EKG pod kątem wykrywania rytmów zagrażających życiu w czasie rzeczywistym, </w:t>
      </w:r>
    </w:p>
    <w:p w:rsidR="00921BB4" w:rsidRPr="00921BB4" w:rsidRDefault="00921BB4" w:rsidP="00921BB4">
      <w:pPr>
        <w:autoSpaceDE w:val="0"/>
        <w:autoSpaceDN w:val="0"/>
        <w:adjustRightInd w:val="0"/>
        <w:spacing w:after="3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• Dostępne poziomy wzmocnienia: 0,5; 1,0; 1,5; 2,0; 3,0 cm/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mV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zmieniane automatycznie lub ręcznie. </w:t>
      </w:r>
    </w:p>
    <w:p w:rsidR="00921BB4" w:rsidRPr="00921BB4" w:rsidRDefault="00921BB4" w:rsidP="00921B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• Możliwość rozbudowy o moduł </w:t>
      </w:r>
      <w:proofErr w:type="spellStart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WiFi</w:t>
      </w:r>
      <w:proofErr w:type="spellEnd"/>
      <w:r w:rsidRPr="00921BB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i EtCO2. </w:t>
      </w:r>
    </w:p>
    <w:p w:rsidR="004F057C" w:rsidRDefault="004F057C" w:rsidP="004F057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21BB4" w:rsidRDefault="00921BB4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Zgodnie z SWZ, Zamawiający podtrzymuje wcześniejsze zapisy. </w:t>
      </w:r>
      <w:r w:rsidR="003F4ABA" w:rsidRPr="003F4ABA">
        <w:rPr>
          <w:rFonts w:ascii="Calibri" w:hAnsi="Calibri" w:cs="Calibri"/>
          <w:bCs/>
          <w:sz w:val="22"/>
          <w:szCs w:val="22"/>
        </w:rPr>
        <w:tab/>
      </w:r>
      <w:r w:rsidR="003F4ABA" w:rsidRPr="003F4ABA">
        <w:rPr>
          <w:rFonts w:ascii="Calibri" w:hAnsi="Calibri" w:cs="Calibri"/>
          <w:bCs/>
          <w:sz w:val="22"/>
          <w:szCs w:val="22"/>
        </w:rPr>
        <w:tab/>
      </w:r>
    </w:p>
    <w:p w:rsidR="00A562B2" w:rsidRPr="00921BB4" w:rsidRDefault="003F4ABA" w:rsidP="00921BB4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EB25F3">
        <w:rPr>
          <w:rFonts w:ascii="Calibri" w:hAnsi="Calibri" w:cs="Calibri"/>
          <w:bCs/>
          <w:i/>
          <w:sz w:val="20"/>
          <w:szCs w:val="20"/>
        </w:rPr>
        <w:t xml:space="preserve">        </w:t>
      </w:r>
      <w:bookmarkStart w:id="0" w:name="_GoBack"/>
      <w:bookmarkEnd w:id="0"/>
      <w:r w:rsidR="00EB25F3">
        <w:rPr>
          <w:rFonts w:ascii="Calibri" w:hAnsi="Calibri" w:cs="Calibri"/>
          <w:bCs/>
          <w:i/>
          <w:sz w:val="20"/>
          <w:szCs w:val="20"/>
        </w:rPr>
        <w:t>/-/</w:t>
      </w:r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9E" w:rsidRDefault="0094319E" w:rsidP="000A396A">
      <w:r>
        <w:separator/>
      </w:r>
    </w:p>
  </w:endnote>
  <w:endnote w:type="continuationSeparator" w:id="0">
    <w:p w:rsidR="0094319E" w:rsidRDefault="0094319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9E" w:rsidRDefault="0094319E" w:rsidP="000A396A">
      <w:r>
        <w:separator/>
      </w:r>
    </w:p>
  </w:footnote>
  <w:footnote w:type="continuationSeparator" w:id="0">
    <w:p w:rsidR="0094319E" w:rsidRDefault="0094319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615D95"/>
    <w:rsid w:val="00654F5E"/>
    <w:rsid w:val="006A4DF5"/>
    <w:rsid w:val="006A6E63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B00D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2021-11-15T06:52:00Z</cp:lastPrinted>
  <dcterms:created xsi:type="dcterms:W3CDTF">2021-11-15T06:52:00Z</dcterms:created>
  <dcterms:modified xsi:type="dcterms:W3CDTF">2021-11-15T06:53:00Z</dcterms:modified>
</cp:coreProperties>
</file>