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6977" w14:textId="77777777" w:rsidR="00B113A2" w:rsidRPr="00473339" w:rsidRDefault="00B113A2" w:rsidP="00B113A2">
      <w:pPr>
        <w:spacing w:after="120" w:line="276" w:lineRule="auto"/>
        <w:jc w:val="right"/>
        <w:rPr>
          <w:b/>
          <w:sz w:val="24"/>
          <w:szCs w:val="24"/>
        </w:rPr>
      </w:pPr>
      <w:r w:rsidRPr="00473339">
        <w:rPr>
          <w:b/>
          <w:sz w:val="24"/>
          <w:szCs w:val="24"/>
        </w:rPr>
        <w:t xml:space="preserve">Załącznik nr 1 do SWZ </w:t>
      </w:r>
    </w:p>
    <w:p w14:paraId="2331934C" w14:textId="4E59A187" w:rsidR="00B113A2" w:rsidRPr="00B113A2" w:rsidRDefault="00B113A2" w:rsidP="00B113A2">
      <w:pPr>
        <w:autoSpaceDE w:val="0"/>
        <w:autoSpaceDN w:val="0"/>
        <w:adjustRightInd w:val="0"/>
        <w:spacing w:line="276" w:lineRule="auto"/>
        <w:ind w:firstLine="5"/>
        <w:rPr>
          <w:b/>
          <w:sz w:val="24"/>
          <w:szCs w:val="24"/>
        </w:rPr>
      </w:pPr>
      <w:r w:rsidRPr="00473339">
        <w:rPr>
          <w:b/>
          <w:sz w:val="24"/>
          <w:szCs w:val="24"/>
        </w:rPr>
        <w:t xml:space="preserve">Numer postępowania: </w:t>
      </w:r>
      <w:r>
        <w:rPr>
          <w:b/>
          <w:sz w:val="24"/>
          <w:szCs w:val="24"/>
        </w:rPr>
        <w:t>335/2022/TP/DZP</w:t>
      </w:r>
    </w:p>
    <w:p w14:paraId="61AED945" w14:textId="62C7B9D9" w:rsidR="00CC345C" w:rsidRDefault="002162A7" w:rsidP="002162A7">
      <w:pPr>
        <w:jc w:val="center"/>
        <w:rPr>
          <w:rFonts w:ascii="Times New Roman" w:hAnsi="Times New Roman" w:cs="Times New Roman"/>
          <w:sz w:val="32"/>
          <w:szCs w:val="32"/>
        </w:rPr>
      </w:pPr>
      <w:r w:rsidRPr="002162A7">
        <w:rPr>
          <w:rFonts w:ascii="Times New Roman" w:hAnsi="Times New Roman" w:cs="Times New Roman"/>
          <w:sz w:val="32"/>
          <w:szCs w:val="32"/>
        </w:rPr>
        <w:t>Opis Przedmiotu Zamówienia</w:t>
      </w:r>
    </w:p>
    <w:p w14:paraId="0BD208E8" w14:textId="77777777" w:rsidR="00FE6F52" w:rsidRDefault="00FE6F52" w:rsidP="000415C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_DdeLink__1940_12190936598857"/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Modernizacja budynku G (stajnia nr 3) Ośrodka Jeździeckiego Wydziału Bioinżynierii Zwierząt Uniwersytetu Warmińsko – Mazurskiego w Olsztynie przy ul. Słonecznej 51a S018864</w:t>
      </w:r>
    </w:p>
    <w:p w14:paraId="13AC61C8" w14:textId="77777777" w:rsidR="002162A7" w:rsidRPr="00FE6F52" w:rsidRDefault="002162A7" w:rsidP="000415C2">
      <w:pPr>
        <w:jc w:val="center"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dz. nr </w:t>
      </w:r>
      <w:proofErr w:type="spellStart"/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ewid</w:t>
      </w:r>
      <w:proofErr w:type="spellEnd"/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31/9 </w:t>
      </w:r>
      <w:proofErr w:type="spellStart"/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obr</w:t>
      </w:r>
      <w:proofErr w:type="spellEnd"/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152</w:t>
      </w:r>
      <w:bookmarkEnd w:id="0"/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Pr="00FE6F52">
        <w:rPr>
          <w:rFonts w:ascii="Times New Roman" w:hAnsi="Times New Roman" w:cs="Times New Roman"/>
          <w:sz w:val="20"/>
          <w:szCs w:val="20"/>
        </w:rPr>
        <w:t>.</w:t>
      </w:r>
    </w:p>
    <w:p w14:paraId="573003A8" w14:textId="77777777" w:rsidR="00FE6F52" w:rsidRPr="00FE6F52" w:rsidRDefault="00FE6F52" w:rsidP="00FE6F52">
      <w:pPr>
        <w:pStyle w:val="Nagwek2"/>
        <w:numPr>
          <w:ilvl w:val="1"/>
          <w:numId w:val="9"/>
        </w:numPr>
        <w:overflowPunct/>
        <w:rPr>
          <w:rFonts w:ascii="Times New Roman" w:hAnsi="Times New Roman"/>
          <w:sz w:val="20"/>
          <w:szCs w:val="20"/>
        </w:rPr>
      </w:pPr>
      <w:r w:rsidRPr="00FE6F52">
        <w:rPr>
          <w:rFonts w:ascii="Times New Roman" w:hAnsi="Times New Roman"/>
          <w:sz w:val="20"/>
          <w:szCs w:val="20"/>
        </w:rPr>
        <w:t>Przeznaczenie budynku</w:t>
      </w:r>
    </w:p>
    <w:p w14:paraId="6809213D" w14:textId="77777777" w:rsidR="00FE6F52" w:rsidRPr="0053681B" w:rsidRDefault="00FE6F52" w:rsidP="00FE6F52">
      <w:pPr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hAnsi="Times New Roman" w:cs="Times New Roman"/>
          <w:sz w:val="20"/>
          <w:szCs w:val="20"/>
        </w:rPr>
        <w:tab/>
        <w:t xml:space="preserve">Przedmiotem modernizacji jest budynek stajni nr </w:t>
      </w:r>
      <w:r w:rsidRPr="00FE6F52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3</w:t>
      </w:r>
      <w:r w:rsidRPr="00FE6F52">
        <w:rPr>
          <w:rFonts w:ascii="Times New Roman" w:hAnsi="Times New Roman" w:cs="Times New Roman"/>
          <w:sz w:val="20"/>
          <w:szCs w:val="20"/>
        </w:rPr>
        <w:t xml:space="preserve"> (budynek </w:t>
      </w:r>
      <w:r w:rsidRPr="00FE6F52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G</w:t>
      </w:r>
      <w:r w:rsidRPr="00FE6F52">
        <w:rPr>
          <w:rFonts w:ascii="Times New Roman" w:hAnsi="Times New Roman" w:cs="Times New Roman"/>
          <w:sz w:val="20"/>
          <w:szCs w:val="20"/>
        </w:rPr>
        <w:t xml:space="preserve">) w ramach zadania </w:t>
      </w:r>
      <w:proofErr w:type="spellStart"/>
      <w:r w:rsidRPr="00FE6F5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FE6F52">
        <w:rPr>
          <w:rFonts w:ascii="Times New Roman" w:hAnsi="Times New Roman" w:cs="Times New Roman"/>
          <w:sz w:val="20"/>
          <w:szCs w:val="20"/>
        </w:rPr>
        <w:t xml:space="preserve">  </w:t>
      </w:r>
      <w:bookmarkStart w:id="1" w:name="__DdeLink__1940_121909365988571"/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„Remont budynków inwentarskich w ramach adaptacji Ośrodka Jeździeckiego Uniwersytetu Warmińsko-Mazurskiego w </w:t>
      </w:r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Olsztynie, zlokalizowanego przy ul. Słoneczna 51a w Olsztynie, dz. nr </w:t>
      </w:r>
      <w:proofErr w:type="spellStart"/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ewid</w:t>
      </w:r>
      <w:proofErr w:type="spellEnd"/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31/9 </w:t>
      </w:r>
      <w:proofErr w:type="spellStart"/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obr</w:t>
      </w:r>
      <w:proofErr w:type="spellEnd"/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152</w:t>
      </w:r>
      <w:bookmarkEnd w:id="1"/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Pr="0053681B">
        <w:rPr>
          <w:rFonts w:ascii="Times New Roman" w:hAnsi="Times New Roman" w:cs="Times New Roman"/>
          <w:sz w:val="20"/>
          <w:szCs w:val="20"/>
        </w:rPr>
        <w:t>.</w:t>
      </w:r>
    </w:p>
    <w:p w14:paraId="414D1FDD" w14:textId="77777777" w:rsidR="00FE6F52" w:rsidRPr="0053681B" w:rsidRDefault="00FE6F52" w:rsidP="00FE6F5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53681B">
        <w:rPr>
          <w:rFonts w:ascii="Times New Roman" w:hAnsi="Times New Roman" w:cs="Times New Roman"/>
          <w:sz w:val="20"/>
          <w:szCs w:val="20"/>
        </w:rPr>
        <w:t>Roboty budowlane nie powodują:</w:t>
      </w:r>
    </w:p>
    <w:p w14:paraId="46CC410B" w14:textId="77777777" w:rsidR="00FE6F52" w:rsidRPr="0053681B" w:rsidRDefault="00FE6F52" w:rsidP="00FE6F52">
      <w:pPr>
        <w:numPr>
          <w:ilvl w:val="0"/>
          <w:numId w:val="11"/>
        </w:numPr>
        <w:suppressAutoHyphens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81B">
        <w:rPr>
          <w:rFonts w:ascii="Times New Roman" w:hAnsi="Times New Roman" w:cs="Times New Roman"/>
          <w:sz w:val="20"/>
          <w:szCs w:val="20"/>
        </w:rPr>
        <w:t>zmiany sposobu użytkowania budynku,</w:t>
      </w:r>
    </w:p>
    <w:p w14:paraId="24E82215" w14:textId="77777777" w:rsidR="00FE6F52" w:rsidRPr="0053681B" w:rsidRDefault="00FE6F52" w:rsidP="00FE6F52">
      <w:pPr>
        <w:numPr>
          <w:ilvl w:val="0"/>
          <w:numId w:val="11"/>
        </w:numPr>
        <w:suppressAutoHyphens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kształtu budynku jak i jego parametrów technicznych,</w:t>
      </w:r>
    </w:p>
    <w:p w14:paraId="7870465C" w14:textId="77777777" w:rsidR="00FE6F52" w:rsidRPr="0053681B" w:rsidRDefault="00FE6F52" w:rsidP="00FE6F52">
      <w:pPr>
        <w:numPr>
          <w:ilvl w:val="0"/>
          <w:numId w:val="11"/>
        </w:numPr>
        <w:suppressAutoHyphens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zmiany formy architektonicznej, sposobu jego dostosowania do krajobrazu i </w:t>
      </w:r>
      <w:proofErr w:type="spellStart"/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otaczajacej</w:t>
      </w:r>
      <w:proofErr w:type="spellEnd"/>
      <w:r w:rsidRPr="005368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zabudowy,</w:t>
      </w:r>
    </w:p>
    <w:p w14:paraId="0648233F" w14:textId="77777777" w:rsidR="00FE6F52" w:rsidRPr="0053681B" w:rsidRDefault="00FE6F52" w:rsidP="00FE6F52">
      <w:pPr>
        <w:numPr>
          <w:ilvl w:val="0"/>
          <w:numId w:val="11"/>
        </w:numPr>
        <w:suppressAutoHyphens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81B">
        <w:rPr>
          <w:rFonts w:ascii="Times New Roman" w:hAnsi="Times New Roman" w:cs="Times New Roman"/>
          <w:sz w:val="20"/>
          <w:szCs w:val="20"/>
        </w:rPr>
        <w:t>zmiany kategorii zagrożenia pożarowego,</w:t>
      </w:r>
    </w:p>
    <w:p w14:paraId="187CEA0D" w14:textId="77777777" w:rsidR="00FE6F52" w:rsidRPr="0053681B" w:rsidRDefault="00FE6F52" w:rsidP="00FE6F52">
      <w:pPr>
        <w:numPr>
          <w:ilvl w:val="0"/>
          <w:numId w:val="11"/>
        </w:numPr>
        <w:suppressAutoHyphens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81B">
        <w:rPr>
          <w:rFonts w:ascii="Times New Roman" w:hAnsi="Times New Roman" w:cs="Times New Roman"/>
          <w:sz w:val="20"/>
          <w:szCs w:val="20"/>
        </w:rPr>
        <w:t>zwiększenia zapotrzebowania w media,</w:t>
      </w:r>
    </w:p>
    <w:p w14:paraId="0B2BB71D" w14:textId="77777777" w:rsidR="00FE6F52" w:rsidRPr="00FE6F52" w:rsidRDefault="00FE6F52" w:rsidP="00FE6F52">
      <w:pPr>
        <w:numPr>
          <w:ilvl w:val="0"/>
          <w:numId w:val="11"/>
        </w:numPr>
        <w:suppressAutoHyphens/>
        <w:spacing w:line="252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00"/>
          <w:sz w:val="20"/>
          <w:szCs w:val="20"/>
        </w:rPr>
      </w:pPr>
      <w:r w:rsidRPr="0053681B">
        <w:rPr>
          <w:rFonts w:ascii="Times New Roman" w:hAnsi="Times New Roman" w:cs="Times New Roman"/>
          <w:sz w:val="20"/>
          <w:szCs w:val="20"/>
        </w:rPr>
        <w:t>zmiany zagospodarowania</w:t>
      </w:r>
      <w:r w:rsidRPr="00FE6F52">
        <w:rPr>
          <w:rFonts w:ascii="Times New Roman" w:hAnsi="Times New Roman" w:cs="Times New Roman"/>
          <w:sz w:val="20"/>
          <w:szCs w:val="20"/>
        </w:rPr>
        <w:t xml:space="preserve"> działki.</w:t>
      </w:r>
    </w:p>
    <w:p w14:paraId="271C8477" w14:textId="77777777" w:rsidR="00FE6F52" w:rsidRPr="00FE6F52" w:rsidRDefault="00FE6F52" w:rsidP="00FE6F52">
      <w:pPr>
        <w:pStyle w:val="Nagwek2"/>
        <w:numPr>
          <w:ilvl w:val="1"/>
          <w:numId w:val="9"/>
        </w:numPr>
        <w:overflowPunct/>
        <w:rPr>
          <w:rFonts w:ascii="Times New Roman" w:eastAsia="Calibri" w:hAnsi="Times New Roman"/>
          <w:color w:val="000000"/>
          <w:sz w:val="20"/>
          <w:szCs w:val="20"/>
        </w:rPr>
      </w:pPr>
      <w:bookmarkStart w:id="2" w:name="__RefHeading___Toc3872_361542428"/>
      <w:bookmarkEnd w:id="2"/>
      <w:r w:rsidRPr="00FE6F52">
        <w:rPr>
          <w:rFonts w:ascii="Times New Roman" w:hAnsi="Times New Roman"/>
          <w:sz w:val="20"/>
          <w:szCs w:val="20"/>
        </w:rPr>
        <w:t>Stan istniejący</w:t>
      </w:r>
    </w:p>
    <w:p w14:paraId="0C12942A" w14:textId="77777777" w:rsidR="00FE6F52" w:rsidRPr="00FE6F52" w:rsidRDefault="00FE6F52" w:rsidP="00FE6F52">
      <w:pPr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ab/>
        <w:t xml:space="preserve">Budynek o jednej kondygnacji niepodpiwniczony. Pawilon gospodarski z wydzielonymi  7  boksami  dla  koni  i  pomieszczeniami  </w:t>
      </w:r>
      <w:proofErr w:type="spellStart"/>
      <w:r w:rsidRPr="00FE6F52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magazynowo-socjalnymi</w:t>
      </w:r>
      <w:proofErr w:type="spellEnd"/>
      <w:r w:rsidRPr="00FE6F52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. Ten zespół boksów stanowi stajnię nr 3 (stajnia sportowa).</w:t>
      </w:r>
    </w:p>
    <w:p w14:paraId="3FCAB4F2" w14:textId="77777777" w:rsidR="00FE6F52" w:rsidRPr="00FE6F52" w:rsidRDefault="00FE6F52" w:rsidP="00FE6F52">
      <w:pPr>
        <w:pStyle w:val="Nagwek2"/>
        <w:numPr>
          <w:ilvl w:val="1"/>
          <w:numId w:val="9"/>
        </w:numPr>
        <w:overflowPunct/>
        <w:rPr>
          <w:rFonts w:ascii="Times New Roman" w:eastAsia="Calibri" w:hAnsi="Times New Roman"/>
          <w:color w:val="000000"/>
          <w:sz w:val="20"/>
          <w:szCs w:val="20"/>
        </w:rPr>
      </w:pPr>
      <w:bookmarkStart w:id="3" w:name="__RefHeading___Toc3874_361542428"/>
      <w:bookmarkEnd w:id="3"/>
      <w:r w:rsidRPr="00FE6F52">
        <w:rPr>
          <w:rFonts w:ascii="Times New Roman" w:hAnsi="Times New Roman"/>
          <w:sz w:val="20"/>
          <w:szCs w:val="20"/>
        </w:rPr>
        <w:t>Zakres modernizacji</w:t>
      </w:r>
    </w:p>
    <w:p w14:paraId="5E8C8FC3" w14:textId="77777777" w:rsidR="00FE6F52" w:rsidRPr="00FE6F52" w:rsidRDefault="00FE6F52" w:rsidP="00FE6F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Prace przewidziane w ramach modernizacji</w:t>
      </w:r>
    </w:p>
    <w:p w14:paraId="5174229A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nowej posadzki na gruncie – w tym skucie posadzek do projektowanej rzędnej i ujednolicenie rzędnej wykończeniowej w podniesionych pomieszczeniach,</w:t>
      </w:r>
    </w:p>
    <w:p w14:paraId="6F6043F6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wykonanie ścian murowanych, </w:t>
      </w:r>
    </w:p>
    <w:p w14:paraId="5B1C2249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izolacji przeciwwilgociowych fundamentów,</w:t>
      </w:r>
    </w:p>
    <w:p w14:paraId="615C3657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wymiana konstrukcji stalowej dachu wg branży konstrukcyjnej,</w:t>
      </w:r>
    </w:p>
    <w:p w14:paraId="299D900F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wymiana poszycia dachowego w tym obróbek blacharskich i odwodnienia dachu,</w:t>
      </w:r>
    </w:p>
    <w:p w14:paraId="1CAC4ADF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wymiana stolarki okiennej i drzwiowej,</w:t>
      </w:r>
    </w:p>
    <w:p w14:paraId="18C10210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demontaż, konserwacja i ponowny montaż boksów, żłobów, poideł i elementów wiązowych,</w:t>
      </w:r>
    </w:p>
    <w:p w14:paraId="3F78EA5E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oświetleniowa wg branży elektrycznej, </w:t>
      </w:r>
    </w:p>
    <w:p w14:paraId="1CC3E7BA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gniazd wtykowych wg branży elektrycznej, </w:t>
      </w:r>
    </w:p>
    <w:p w14:paraId="229D7A4D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CCTV wg branży elektrycznej, </w:t>
      </w:r>
    </w:p>
    <w:p w14:paraId="0E69AA80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wentylacji wg branży sanitarnej, </w:t>
      </w:r>
    </w:p>
    <w:p w14:paraId="06BEB1C4" w14:textId="77777777" w:rsidR="00FE6F52" w:rsidRPr="00FE6F52" w:rsidRDefault="00FE6F52" w:rsidP="00FE6F52">
      <w:pPr>
        <w:pStyle w:val="Bezodstpw"/>
        <w:numPr>
          <w:ilvl w:val="0"/>
          <w:numId w:val="10"/>
        </w:numPr>
        <w:overflowPunct/>
        <w:rPr>
          <w:rFonts w:ascii="Times New Roman" w:hAnsi="Times New Roman" w:cs="Times New Roman"/>
          <w:sz w:val="20"/>
          <w:szCs w:val="20"/>
        </w:rPr>
      </w:pPr>
      <w:r w:rsidRPr="00FE6F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instalacja wodociągowa (wraz z instalacją doprowadzającą wodę do poideł) z wg branży sanitarnej. </w:t>
      </w:r>
    </w:p>
    <w:p w14:paraId="5CB667B2" w14:textId="77777777" w:rsidR="00FE6F52" w:rsidRPr="00FE6F52" w:rsidRDefault="00FE6F52" w:rsidP="00FE6F52">
      <w:pPr>
        <w:pStyle w:val="Nagwek1"/>
        <w:numPr>
          <w:ilvl w:val="0"/>
          <w:numId w:val="9"/>
        </w:numPr>
        <w:overflowPunct/>
        <w:rPr>
          <w:rFonts w:ascii="Times New Roman" w:hAnsi="Times New Roman"/>
          <w:sz w:val="20"/>
          <w:szCs w:val="20"/>
        </w:rPr>
      </w:pPr>
      <w:bookmarkStart w:id="4" w:name="__RefHeading___Toc19759_437429095"/>
      <w:bookmarkEnd w:id="4"/>
      <w:r w:rsidRPr="00FE6F52">
        <w:rPr>
          <w:rFonts w:ascii="Times New Roman" w:hAnsi="Times New Roman"/>
          <w:sz w:val="20"/>
          <w:szCs w:val="20"/>
        </w:rPr>
        <w:t>Charakterystyczne parametry techniczne</w:t>
      </w:r>
    </w:p>
    <w:tbl>
      <w:tblPr>
        <w:tblW w:w="9073" w:type="dxa"/>
        <w:tblInd w:w="27" w:type="dxa"/>
        <w:tblCellMar>
          <w:left w:w="5" w:type="dxa"/>
          <w:right w:w="104" w:type="dxa"/>
        </w:tblCellMar>
        <w:tblLook w:val="0000" w:firstRow="0" w:lastRow="0" w:firstColumn="0" w:lastColumn="0" w:noHBand="0" w:noVBand="0"/>
      </w:tblPr>
      <w:tblGrid>
        <w:gridCol w:w="2508"/>
        <w:gridCol w:w="4921"/>
        <w:gridCol w:w="1077"/>
        <w:gridCol w:w="567"/>
      </w:tblGrid>
      <w:tr w:rsidR="00FE6F52" w:rsidRPr="00FE6F52" w14:paraId="19784815" w14:textId="77777777" w:rsidTr="00E873E5">
        <w:trPr>
          <w:trHeight w:val="285"/>
        </w:trPr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4FA0B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DANE LICZBOWE 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E964CB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KUBATURA BRUTTO 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CC8FB3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1095,00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B1723D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m³</w:t>
            </w:r>
          </w:p>
        </w:tc>
      </w:tr>
      <w:tr w:rsidR="00FE6F52" w:rsidRPr="00FE6F52" w14:paraId="1408E6DD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7210C4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F9FF73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POWIERZCHNIA ZABUDOWY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C9CD39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258,84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D2D381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1E4BD639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D6E73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D2F42A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POWIERZCHNIA CAŁKOWITA 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EDC68D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258,84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E6DA26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 </w:t>
            </w:r>
          </w:p>
        </w:tc>
      </w:tr>
      <w:tr w:rsidR="00FE6F52" w:rsidRPr="00FE6F52" w14:paraId="16EB6C13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660A31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A1F091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POWIERZCHNIA UŻYTKOWA  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69A54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188,41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AB766F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  </w:t>
            </w:r>
          </w:p>
        </w:tc>
      </w:tr>
      <w:tr w:rsidR="00FE6F52" w:rsidRPr="00FE6F52" w14:paraId="7579BC86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9DD005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4235B9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SZEROKOŚĆ BUDYNKU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13AEE3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28E22E" w14:textId="77777777" w:rsidR="00FE6F52" w:rsidRPr="00FE6F52" w:rsidRDefault="00FE6F52" w:rsidP="00E873E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</w:tr>
      <w:tr w:rsidR="00FE6F52" w:rsidRPr="00FE6F52" w14:paraId="4971BAFC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425B43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B4108D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DŁUGOŚĆ BUDYNKU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EBCAB1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CB9722" w14:textId="77777777" w:rsidR="00FE6F52" w:rsidRPr="00FE6F52" w:rsidRDefault="00FE6F52" w:rsidP="00E873E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 </w:t>
            </w:r>
          </w:p>
        </w:tc>
      </w:tr>
      <w:tr w:rsidR="00FE6F52" w:rsidRPr="00FE6F52" w14:paraId="1DA3651B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F21E7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6451EA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WYSOKOŚĆ BUDYNKU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A76448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BF1C09" w14:textId="77777777" w:rsidR="00FE6F52" w:rsidRPr="00FE6F52" w:rsidRDefault="00FE6F52" w:rsidP="00E873E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</w:tr>
      <w:tr w:rsidR="00FE6F52" w:rsidRPr="00FE6F52" w14:paraId="2F1151D0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A7C93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39DCFC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KONDYGNACJI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DF7143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08D648" w14:textId="77777777" w:rsidR="00FE6F52" w:rsidRPr="00FE6F52" w:rsidRDefault="00FE6F52" w:rsidP="00E873E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[-]</w:t>
            </w:r>
          </w:p>
        </w:tc>
      </w:tr>
      <w:tr w:rsidR="00FE6F52" w:rsidRPr="00FE6F52" w14:paraId="78747E49" w14:textId="77777777" w:rsidTr="00E873E5">
        <w:trPr>
          <w:trHeight w:val="315"/>
        </w:trPr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C613E" w14:textId="77777777" w:rsidR="00FE6F52" w:rsidRPr="00FE6F52" w:rsidRDefault="00FE6F52" w:rsidP="00E87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AB68B5" w14:textId="77777777" w:rsidR="00FE6F52" w:rsidRPr="00FE6F52" w:rsidRDefault="00FE6F52" w:rsidP="00E873E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WYSOKOŚĆ KONDYGNACJI PARTERU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DCB1C8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9D312E" w14:textId="77777777" w:rsidR="00FE6F52" w:rsidRPr="00FE6F52" w:rsidRDefault="00FE6F52" w:rsidP="00E873E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</w:tr>
    </w:tbl>
    <w:p w14:paraId="281DA8C9" w14:textId="77777777" w:rsidR="00FE6F52" w:rsidRPr="00FE6F52" w:rsidRDefault="00FE6F52" w:rsidP="00FE6F52">
      <w:pPr>
        <w:rPr>
          <w:rFonts w:ascii="Times New Roman" w:hAnsi="Times New Roman" w:cs="Times New Roman"/>
          <w:sz w:val="20"/>
          <w:szCs w:val="20"/>
        </w:rPr>
      </w:pPr>
    </w:p>
    <w:p w14:paraId="14E10103" w14:textId="77777777" w:rsidR="00FE6F52" w:rsidRPr="00FE6F52" w:rsidRDefault="00FE6F52" w:rsidP="00FE6F52">
      <w:pPr>
        <w:pStyle w:val="Nagwek1"/>
        <w:numPr>
          <w:ilvl w:val="0"/>
          <w:numId w:val="8"/>
        </w:numPr>
        <w:overflowPunct/>
        <w:rPr>
          <w:rFonts w:ascii="Times New Roman" w:hAnsi="Times New Roman"/>
          <w:sz w:val="20"/>
          <w:szCs w:val="20"/>
        </w:rPr>
      </w:pPr>
      <w:bookmarkStart w:id="5" w:name="__RefHeading___Toc7724_446104664"/>
      <w:bookmarkStart w:id="6" w:name="_Toc524467995"/>
      <w:bookmarkEnd w:id="5"/>
      <w:bookmarkEnd w:id="6"/>
      <w:r w:rsidRPr="00FE6F52">
        <w:rPr>
          <w:rFonts w:ascii="Times New Roman" w:hAnsi="Times New Roman"/>
          <w:sz w:val="20"/>
          <w:szCs w:val="20"/>
        </w:rPr>
        <w:t>Zestawienie powierzchni</w:t>
      </w:r>
    </w:p>
    <w:p w14:paraId="16F08957" w14:textId="77777777" w:rsidR="00FE6F52" w:rsidRPr="00FE6F52" w:rsidRDefault="00FE6F52" w:rsidP="00FE6F52">
      <w:pPr>
        <w:pStyle w:val="Nagwek2"/>
        <w:numPr>
          <w:ilvl w:val="1"/>
          <w:numId w:val="8"/>
        </w:numPr>
        <w:overflowPunct/>
        <w:rPr>
          <w:rFonts w:ascii="Times New Roman" w:hAnsi="Times New Roman"/>
          <w:sz w:val="20"/>
          <w:szCs w:val="20"/>
        </w:rPr>
      </w:pPr>
      <w:bookmarkStart w:id="7" w:name="__RefHeading___Toc7726_446104664"/>
      <w:bookmarkStart w:id="8" w:name="_Toc524467996"/>
      <w:bookmarkEnd w:id="7"/>
      <w:bookmarkEnd w:id="8"/>
      <w:r w:rsidRPr="00FE6F52">
        <w:rPr>
          <w:rFonts w:ascii="Times New Roman" w:hAnsi="Times New Roman"/>
          <w:sz w:val="20"/>
          <w:szCs w:val="20"/>
        </w:rPr>
        <w:t>Parter</w:t>
      </w:r>
    </w:p>
    <w:tbl>
      <w:tblPr>
        <w:tblW w:w="9074" w:type="dxa"/>
        <w:tblInd w:w="1" w:type="dxa"/>
        <w:tblCellMar>
          <w:left w:w="5" w:type="dxa"/>
          <w:right w:w="98" w:type="dxa"/>
        </w:tblCellMar>
        <w:tblLook w:val="0000" w:firstRow="0" w:lastRow="0" w:firstColumn="0" w:lastColumn="0" w:noHBand="0" w:noVBand="0"/>
      </w:tblPr>
      <w:tblGrid>
        <w:gridCol w:w="679"/>
        <w:gridCol w:w="5270"/>
        <w:gridCol w:w="2552"/>
        <w:gridCol w:w="573"/>
      </w:tblGrid>
      <w:tr w:rsidR="00FE6F52" w:rsidRPr="00FE6F52" w14:paraId="3EF45E0A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4D17964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32AC04E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b/>
                <w:sz w:val="20"/>
                <w:szCs w:val="20"/>
              </w:rPr>
              <w:t>NAZWA POMIESZCZENIA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6A20350B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b/>
                <w:sz w:val="20"/>
                <w:szCs w:val="20"/>
              </w:rPr>
              <w:t>POW.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709FD67D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F52" w:rsidRPr="00FE6F52" w14:paraId="28568127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FC87D60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097E9A41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Pom. magazynowe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8F062F0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107B4A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789D0D71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9A582A6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D91C6BC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Boks koński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C820F7C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8E530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4015DE7D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C19B24B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0D9C608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 koński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D8EF220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EBB1EE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53881C31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20531F6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C5A67F5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 koński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35307AE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5A8AB5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432337FA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7AE66DC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8ACBE57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 koński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60F0731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93B8BE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1582AC3B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9273B53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311BC043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 koński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0AB8D67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5C71B3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02117E8F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11622DB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9441A14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 koński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24A94809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3D41C9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m²</w:t>
            </w:r>
          </w:p>
        </w:tc>
      </w:tr>
      <w:tr w:rsidR="00FE6F52" w:rsidRPr="00FE6F52" w14:paraId="21B5601A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430F2D0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4DFFE9E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Boks koński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037B0E9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12,29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ADFB8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5534817A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6347925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6186704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Korytarz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134F7D8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54,42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14E8D1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m²</w:t>
            </w:r>
          </w:p>
        </w:tc>
      </w:tr>
      <w:tr w:rsidR="00FE6F52" w:rsidRPr="00FE6F52" w14:paraId="058573F3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5A58005B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5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7D12977E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Pom. magazynowe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4D4AC751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D42B8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m²</w:t>
            </w:r>
          </w:p>
        </w:tc>
      </w:tr>
      <w:tr w:rsidR="00FE6F52" w:rsidRPr="00FE6F52" w14:paraId="167A7F1C" w14:textId="77777777" w:rsidTr="00E873E5"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6BBDE25A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26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6EA195EC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Pom. socjalne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4801690F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2834B2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m²</w:t>
            </w:r>
          </w:p>
        </w:tc>
      </w:tr>
      <w:tr w:rsidR="00FE6F52" w:rsidRPr="00FE6F52" w14:paraId="673DAC38" w14:textId="77777777" w:rsidTr="00E873E5"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746B251E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0.11a</w:t>
            </w:r>
          </w:p>
        </w:tc>
        <w:tc>
          <w:tcPr>
            <w:tcW w:w="526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4D7BE8D5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Przedsionek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25A013D0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24E3A3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>m²</w:t>
            </w:r>
          </w:p>
        </w:tc>
      </w:tr>
      <w:tr w:rsidR="00FE6F52" w:rsidRPr="00FE6F52" w14:paraId="3588FC3C" w14:textId="77777777" w:rsidTr="00E873E5"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4404CF8A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5269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079AA9E4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Pom. konserwatora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14:paraId="5374519D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5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BE04F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  <w:tr w:rsidR="00FE6F52" w:rsidRPr="00FE6F52" w14:paraId="38F0C91E" w14:textId="77777777" w:rsidTr="00E873E5"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634152DA" w14:textId="77777777" w:rsidR="00FE6F52" w:rsidRPr="00FE6F52" w:rsidRDefault="00FE6F52" w:rsidP="00E873E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single" w:sz="4" w:space="0" w:color="000001"/>
              <w:bottom w:val="single" w:sz="4" w:space="0" w:color="000001"/>
            </w:tcBorders>
            <w:tcMar>
              <w:left w:w="103" w:type="dxa"/>
            </w:tcMar>
            <w:vAlign w:val="center"/>
          </w:tcPr>
          <w:p w14:paraId="5C1452DB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14:paraId="12BB7759" w14:textId="77777777" w:rsidR="00FE6F52" w:rsidRPr="00FE6F52" w:rsidRDefault="00FE6F52" w:rsidP="00E873E5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hAnsi="Times New Roman" w:cs="Times New Roman"/>
                <w:sz w:val="20"/>
                <w:szCs w:val="20"/>
              </w:rPr>
              <w:t>188,41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DE585D" w14:textId="77777777" w:rsidR="00FE6F52" w:rsidRPr="00FE6F52" w:rsidRDefault="00FE6F52" w:rsidP="00E873E5">
            <w:pPr>
              <w:pStyle w:val="Standard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m² </w:t>
            </w:r>
          </w:p>
        </w:tc>
      </w:tr>
    </w:tbl>
    <w:p w14:paraId="08605BDE" w14:textId="77777777" w:rsidR="00FE6F52" w:rsidRPr="00FE6F52" w:rsidRDefault="00FE6F52" w:rsidP="000415C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FE6F52" w:rsidRPr="00FE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8E0"/>
    <w:multiLevelType w:val="multilevel"/>
    <w:tmpl w:val="DB3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F305E8"/>
    <w:multiLevelType w:val="multilevel"/>
    <w:tmpl w:val="A99A10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EB32CF"/>
    <w:multiLevelType w:val="multilevel"/>
    <w:tmpl w:val="E7BE0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8C4054"/>
    <w:multiLevelType w:val="multilevel"/>
    <w:tmpl w:val="222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9D5664B"/>
    <w:multiLevelType w:val="hybridMultilevel"/>
    <w:tmpl w:val="30C6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505D"/>
    <w:multiLevelType w:val="multilevel"/>
    <w:tmpl w:val="A72CDB4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D513B02"/>
    <w:multiLevelType w:val="hybridMultilevel"/>
    <w:tmpl w:val="02527D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E9B1957"/>
    <w:multiLevelType w:val="multilevel"/>
    <w:tmpl w:val="C39CC7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2D26AE"/>
    <w:multiLevelType w:val="multilevel"/>
    <w:tmpl w:val="2EF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9" w15:restartNumberingAfterBreak="0">
    <w:nsid w:val="73FF47B4"/>
    <w:multiLevelType w:val="hybridMultilevel"/>
    <w:tmpl w:val="CE80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23769"/>
    <w:multiLevelType w:val="multilevel"/>
    <w:tmpl w:val="D25C9F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12513733">
    <w:abstractNumId w:val="7"/>
  </w:num>
  <w:num w:numId="2" w16cid:durableId="1552693412">
    <w:abstractNumId w:val="2"/>
  </w:num>
  <w:num w:numId="3" w16cid:durableId="1575042862">
    <w:abstractNumId w:val="8"/>
  </w:num>
  <w:num w:numId="4" w16cid:durableId="418992368">
    <w:abstractNumId w:val="3"/>
  </w:num>
  <w:num w:numId="5" w16cid:durableId="291906889">
    <w:abstractNumId w:val="9"/>
  </w:num>
  <w:num w:numId="6" w16cid:durableId="1100758606">
    <w:abstractNumId w:val="4"/>
  </w:num>
  <w:num w:numId="7" w16cid:durableId="1830248352">
    <w:abstractNumId w:val="6"/>
  </w:num>
  <w:num w:numId="8" w16cid:durableId="699940860">
    <w:abstractNumId w:val="1"/>
  </w:num>
  <w:num w:numId="9" w16cid:durableId="820191670">
    <w:abstractNumId w:val="10"/>
  </w:num>
  <w:num w:numId="10" w16cid:durableId="1577352253">
    <w:abstractNumId w:val="0"/>
  </w:num>
  <w:num w:numId="11" w16cid:durableId="1217551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7"/>
    <w:rsid w:val="000415C2"/>
    <w:rsid w:val="00202D41"/>
    <w:rsid w:val="002162A7"/>
    <w:rsid w:val="00391945"/>
    <w:rsid w:val="004821B5"/>
    <w:rsid w:val="0053681B"/>
    <w:rsid w:val="00AE1917"/>
    <w:rsid w:val="00B113A2"/>
    <w:rsid w:val="00BF2F5E"/>
    <w:rsid w:val="00CC345C"/>
    <w:rsid w:val="00CC54F5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5800"/>
  <w15:chartTrackingRefBased/>
  <w15:docId w15:val="{611C76B5-B3B2-4AA9-A31A-FA19F48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162A7"/>
    <w:pPr>
      <w:keepNext/>
      <w:suppressAutoHyphens/>
      <w:overflowPunct w:val="0"/>
      <w:spacing w:before="240" w:after="60" w:line="252" w:lineRule="auto"/>
      <w:jc w:val="both"/>
      <w:outlineLvl w:val="0"/>
    </w:pPr>
    <w:rPr>
      <w:rFonts w:ascii="Arial" w:eastAsia="Times New Roman" w:hAnsi="Arial" w:cs="Times New Roman"/>
      <w:b/>
      <w:bCs/>
      <w:smallCaps/>
      <w:color w:val="00000A"/>
      <w:sz w:val="24"/>
      <w:szCs w:val="32"/>
      <w:u w:val="single"/>
      <w:lang w:eastAsia="zh-CN"/>
    </w:rPr>
  </w:style>
  <w:style w:type="paragraph" w:styleId="Nagwek2">
    <w:name w:val="heading 2"/>
    <w:basedOn w:val="Normalny"/>
    <w:link w:val="Nagwek2Znak"/>
    <w:qFormat/>
    <w:rsid w:val="002162A7"/>
    <w:pPr>
      <w:keepNext/>
      <w:suppressAutoHyphens/>
      <w:overflowPunct w:val="0"/>
      <w:spacing w:before="240" w:after="60" w:line="252" w:lineRule="auto"/>
      <w:jc w:val="both"/>
      <w:outlineLvl w:val="1"/>
    </w:pPr>
    <w:rPr>
      <w:rFonts w:ascii="Arial" w:eastAsia="Times New Roman" w:hAnsi="Arial" w:cs="Times New Roman"/>
      <w:b/>
      <w:bCs/>
      <w:i/>
      <w:iCs/>
      <w:smallCaps/>
      <w:color w:val="00000A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2A7"/>
    <w:rPr>
      <w:rFonts w:ascii="Arial" w:eastAsia="Times New Roman" w:hAnsi="Arial" w:cs="Times New Roman"/>
      <w:b/>
      <w:bCs/>
      <w:smallCaps/>
      <w:color w:val="00000A"/>
      <w:sz w:val="24"/>
      <w:szCs w:val="32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2162A7"/>
    <w:rPr>
      <w:rFonts w:ascii="Arial" w:eastAsia="Times New Roman" w:hAnsi="Arial" w:cs="Times New Roman"/>
      <w:b/>
      <w:bCs/>
      <w:i/>
      <w:iCs/>
      <w:smallCaps/>
      <w:color w:val="00000A"/>
      <w:szCs w:val="28"/>
      <w:lang w:eastAsia="zh-CN"/>
    </w:rPr>
  </w:style>
  <w:style w:type="paragraph" w:styleId="Bezodstpw">
    <w:name w:val="No Spacing"/>
    <w:qFormat/>
    <w:rsid w:val="002162A7"/>
    <w:pPr>
      <w:suppressAutoHyphens/>
      <w:overflowPunct w:val="0"/>
      <w:spacing w:after="0" w:line="240" w:lineRule="auto"/>
      <w:jc w:val="both"/>
    </w:pPr>
    <w:rPr>
      <w:rFonts w:ascii="Arial" w:eastAsia="Calibri" w:hAnsi="Arial" w:cs="Arial"/>
      <w:color w:val="00000A"/>
      <w:lang w:eastAsia="zh-CN"/>
    </w:rPr>
  </w:style>
  <w:style w:type="paragraph" w:customStyle="1" w:styleId="Standard">
    <w:name w:val="Standard"/>
    <w:qFormat/>
    <w:rsid w:val="002162A7"/>
    <w:pPr>
      <w:suppressAutoHyphens/>
      <w:overflowPunct w:val="0"/>
      <w:spacing w:after="200" w:line="276" w:lineRule="auto"/>
      <w:textAlignment w:val="baseline"/>
    </w:pPr>
    <w:rPr>
      <w:rFonts w:ascii="Calibri" w:eastAsia="Times New Roman" w:hAnsi="Calibri" w:cs="Calibri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AE1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Grzesiek30</dc:creator>
  <cp:keywords/>
  <dc:description/>
  <cp:lastModifiedBy>Dorota Borkowska</cp:lastModifiedBy>
  <cp:revision>5</cp:revision>
  <cp:lastPrinted>2021-04-23T07:11:00Z</cp:lastPrinted>
  <dcterms:created xsi:type="dcterms:W3CDTF">2022-07-25T09:22:00Z</dcterms:created>
  <dcterms:modified xsi:type="dcterms:W3CDTF">2022-08-31T13:28:00Z</dcterms:modified>
</cp:coreProperties>
</file>