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438B9EA3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AB0565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3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</w:t>
      </w:r>
      <w:proofErr w:type="spellStart"/>
      <w:r w:rsidRPr="00EF17B9">
        <w:rPr>
          <w:rFonts w:ascii="Calibri" w:eastAsia="Calibri" w:hAnsi="Calibri" w:cs="Calibri"/>
          <w:i/>
          <w:iCs/>
          <w:sz w:val="20"/>
          <w:szCs w:val="20"/>
        </w:rPr>
        <w:t>CEiDG</w:t>
      </w:r>
      <w:proofErr w:type="spellEnd"/>
      <w:r w:rsidRPr="00EF17B9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6CFC8735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7B369C" w:rsidRPr="00AB0565">
        <w:rPr>
          <w:rFonts w:ascii="Calibri" w:hAnsi="Calibri" w:cs="Calibri"/>
          <w:b/>
          <w:bCs/>
          <w:i/>
          <w:iCs/>
          <w:color w:val="000000"/>
        </w:rPr>
        <w:t>„</w:t>
      </w:r>
      <w:r w:rsidR="00AB0565" w:rsidRPr="00AB0565">
        <w:rPr>
          <w:rFonts w:ascii="Calibri" w:hAnsi="Calibri" w:cs="Calibri"/>
          <w:b/>
          <w:bCs/>
          <w:i/>
          <w:iCs/>
          <w:color w:val="000000"/>
        </w:rPr>
        <w:t>Nadruk, konfekcja i dostawa sprzętu sportowego dla organizatorów turniejów ZONS</w:t>
      </w:r>
      <w:r w:rsidR="00E057C4" w:rsidRPr="00E057C4">
        <w:rPr>
          <w:rFonts w:ascii="Calibri" w:hAnsi="Calibri" w:cs="Calibri"/>
          <w:b/>
          <w:bCs/>
          <w:i/>
          <w:iCs/>
          <w:color w:val="000000"/>
        </w:rPr>
        <w:t xml:space="preserve">” 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– nr postępowania </w:t>
      </w:r>
      <w:r w:rsidR="00E057C4">
        <w:rPr>
          <w:rFonts w:ascii="Calibri" w:hAnsi="Calibri" w:cs="Calibri"/>
          <w:b/>
          <w:bCs/>
          <w:i/>
          <w:iCs/>
          <w:color w:val="000000"/>
        </w:rPr>
        <w:t>F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OS.ZO.</w:t>
      </w:r>
      <w:r w:rsidR="00AB0565">
        <w:rPr>
          <w:rFonts w:ascii="Calibri" w:hAnsi="Calibri" w:cs="Calibri"/>
          <w:b/>
          <w:bCs/>
          <w:i/>
          <w:iCs/>
          <w:color w:val="000000"/>
        </w:rPr>
        <w:t>35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.2024.MC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9A2D5C">
        <w:rPr>
          <w:rFonts w:ascii="Calibri" w:eastAsia="Calibri" w:hAnsi="Calibri" w:cs="Calibri"/>
          <w:sz w:val="21"/>
          <w:szCs w:val="21"/>
        </w:rPr>
        <w:t>Fundację Orły Sportu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0023"/>
    <w:rsid w:val="0018661C"/>
    <w:rsid w:val="001C5559"/>
    <w:rsid w:val="005617B6"/>
    <w:rsid w:val="006A4130"/>
    <w:rsid w:val="006F7C2A"/>
    <w:rsid w:val="00770530"/>
    <w:rsid w:val="007A7974"/>
    <w:rsid w:val="007B369C"/>
    <w:rsid w:val="007C54B1"/>
    <w:rsid w:val="008D5752"/>
    <w:rsid w:val="009A2D5C"/>
    <w:rsid w:val="00AB0565"/>
    <w:rsid w:val="00B50632"/>
    <w:rsid w:val="00B51CDE"/>
    <w:rsid w:val="00C6289B"/>
    <w:rsid w:val="00DF2A33"/>
    <w:rsid w:val="00E057C4"/>
    <w:rsid w:val="00E1301B"/>
    <w:rsid w:val="00EF17B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2</cp:revision>
  <cp:lastPrinted>2023-07-20T09:37:00Z</cp:lastPrinted>
  <dcterms:created xsi:type="dcterms:W3CDTF">2024-12-09T10:48:00Z</dcterms:created>
  <dcterms:modified xsi:type="dcterms:W3CDTF">2024-12-09T10:48:00Z</dcterms:modified>
</cp:coreProperties>
</file>