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9C" w:rsidRDefault="0031259C" w:rsidP="0031259C">
      <w:pPr>
        <w:pStyle w:val="Normal1"/>
        <w:rPr>
          <w:b/>
        </w:rPr>
      </w:pPr>
      <w:r>
        <w:rPr>
          <w:b/>
        </w:rPr>
        <w:t>ZAŁACZNIK 1 pomoce dydaktyczne do fizyki</w:t>
      </w:r>
    </w:p>
    <w:tbl>
      <w:tblPr>
        <w:tblStyle w:val="TableGrid1"/>
        <w:tblW w:w="11205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849"/>
        <w:gridCol w:w="4111"/>
        <w:gridCol w:w="997"/>
        <w:gridCol w:w="850"/>
        <w:gridCol w:w="990"/>
        <w:gridCol w:w="994"/>
        <w:gridCol w:w="1138"/>
        <w:gridCol w:w="1276"/>
      </w:tblGrid>
      <w:tr w:rsidR="0031259C" w:rsidTr="00500B0A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59C" w:rsidRDefault="0031259C">
            <w:pPr>
              <w:pStyle w:val="Normal1"/>
              <w:jc w:val="center"/>
            </w:pPr>
            <w:r>
              <w:t>LP</w:t>
            </w:r>
          </w:p>
        </w:tc>
        <w:tc>
          <w:tcPr>
            <w:tcW w:w="41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59C" w:rsidRDefault="0031259C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Produkty</w:t>
            </w:r>
          </w:p>
        </w:tc>
        <w:tc>
          <w:tcPr>
            <w:tcW w:w="9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  <w:p w:rsidR="0031259C" w:rsidRDefault="0031259C">
            <w:pPr>
              <w:pStyle w:val="Normal1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:rsidR="0031259C" w:rsidRDefault="0031259C">
            <w:pPr>
              <w:pStyle w:val="Normal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59C" w:rsidRDefault="0031259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 w:rsidP="008B0B1C">
            <w:pPr>
              <w:pStyle w:val="Akapitzlist1"/>
              <w:numPr>
                <w:ilvl w:val="0"/>
                <w:numId w:val="1"/>
              </w:numPr>
            </w:pP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</w:pPr>
            <w:r w:rsidRPr="0031259C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>Rurka Do Demonstracji Zjawiska Konwekcji</w:t>
            </w:r>
          </w:p>
          <w:p w:rsidR="0031259C" w:rsidRPr="0031259C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</w:pPr>
            <w:r w:rsidRPr="0031259C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t>Pomoc dydaktyczna w kształcie wygiętej prostokątnej rurki szklanej z wlewem od góry, za pomocą której można demonstrować efektownie zjawisko konwekcji w cieczach. Wymiary: 20x15 cm.</w:t>
            </w:r>
          </w:p>
          <w:p w:rsidR="0031259C" w:rsidRPr="00500B0A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</w:pPr>
            <w:r w:rsidRPr="00500B0A">
              <w:rPr>
                <w:sz w:val="18"/>
                <w:szCs w:val="18"/>
              </w:rPr>
              <w:t>Indeks</w:t>
            </w:r>
            <w:r w:rsidRPr="00500B0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Fiz000574</w:t>
            </w: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 w:rsidP="0031259C">
            <w:pPr>
              <w:pStyle w:val="Akapitzlist1"/>
              <w:ind w:left="360"/>
            </w:pPr>
            <w: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</w:pPr>
            <w:r w:rsidRPr="0031259C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>Kula Pascala, Szklana</w:t>
            </w:r>
          </w:p>
          <w:p w:rsidR="0031259C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</w:pPr>
            <w:r w:rsidRPr="0031259C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t xml:space="preserve">Szklany przyrząd do demonstracji Prawa Pascala kształtem przypominający kolbę </w:t>
            </w:r>
            <w:proofErr w:type="spellStart"/>
            <w:r w:rsidRPr="0031259C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t>okrągłodenną</w:t>
            </w:r>
            <w:proofErr w:type="spellEnd"/>
            <w:r w:rsidRPr="0031259C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t xml:space="preserve"> z wydłużoną szyją, w której porusza się tłok. Dolna część, czyli kula, posiada na powierzchni otwory, przez które wypływa (równomiernie!) ciecz po naciśnięciu tłoka.</w:t>
            </w:r>
          </w:p>
          <w:p w:rsidR="0031259C" w:rsidRPr="00500B0A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18"/>
                <w:szCs w:val="18"/>
              </w:rPr>
            </w:pPr>
            <w:r w:rsidRPr="00500B0A">
              <w:rPr>
                <w:sz w:val="18"/>
                <w:szCs w:val="18"/>
              </w:rPr>
              <w:t>Indeks</w:t>
            </w:r>
            <w:r w:rsidRPr="00500B0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Fiz000294</w:t>
            </w: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 w:rsidP="0031259C">
            <w:pPr>
              <w:pStyle w:val="Akapitzlist1"/>
              <w:ind w:left="360"/>
            </w:pPr>
            <w: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</w:pPr>
            <w:r w:rsidRPr="0031259C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 xml:space="preserve">Podstawka PP Pod Kolbę </w:t>
            </w:r>
            <w:proofErr w:type="spellStart"/>
            <w:r w:rsidRPr="0031259C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>Okrągłodenną</w:t>
            </w:r>
            <w:proofErr w:type="spellEnd"/>
          </w:p>
          <w:p w:rsidR="0031259C" w:rsidRPr="00B33169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</w:pPr>
            <w:r w:rsidRPr="00B33169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 xml:space="preserve">Podstawka pod kolbę </w:t>
            </w:r>
            <w:proofErr w:type="spellStart"/>
            <w:r w:rsidRPr="00B33169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okrągłodenną</w:t>
            </w:r>
            <w:proofErr w:type="spellEnd"/>
            <w:r w:rsidRPr="00B33169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 xml:space="preserve"> wykonana z polipropylenu ze schodkową częścią wewnętrzną. Może utrzymać kolbę o pojemności do 10 litrów.</w:t>
            </w:r>
          </w:p>
          <w:p w:rsidR="0031259C" w:rsidRPr="00500B0A" w:rsidRDefault="0031259C" w:rsidP="0031259C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18"/>
                <w:szCs w:val="18"/>
              </w:rPr>
            </w:pPr>
            <w:r w:rsidRPr="00500B0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.</w:t>
            </w:r>
            <w:r w:rsidRPr="00500B0A">
              <w:rPr>
                <w:sz w:val="18"/>
                <w:szCs w:val="18"/>
              </w:rPr>
              <w:t>Indeks</w:t>
            </w:r>
            <w:r w:rsidRPr="00500B0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Spr000480</w:t>
            </w:r>
          </w:p>
          <w:p w:rsidR="0031259C" w:rsidRDefault="0031259C">
            <w:pPr>
              <w:pStyle w:val="Normal1"/>
              <w:rPr>
                <w:rFonts w:ascii="Arial" w:eastAsia="Calibri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>
            <w:pPr>
              <w:pStyle w:val="Normal1"/>
              <w:jc w:val="center"/>
            </w:pPr>
            <w:r>
              <w:lastRenderedPageBreak/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>
            <w:pPr>
              <w:pStyle w:val="Normal1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 w:rsidP="00B33169">
            <w:pPr>
              <w:pStyle w:val="Akapitzlist1"/>
              <w:ind w:left="360"/>
            </w:pPr>
            <w:r>
              <w:lastRenderedPageBreak/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169" w:rsidRDefault="00B33169" w:rsidP="00B33169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</w:pPr>
            <w:r w:rsidRPr="00B33169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>Łyżko-Szpatułka</w:t>
            </w:r>
          </w:p>
          <w:p w:rsidR="00B33169" w:rsidRPr="00500B0A" w:rsidRDefault="00B33169" w:rsidP="00B33169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</w:pPr>
            <w:r w:rsidRPr="00500B0A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t>Metalowa łyżka z płaskim rozszerzonym (prostokątnym) końcem w kształcie szpatułki. Przydatna do nabierania, odmierzania i rozdrabniania materiałów sypkich w pracowni, w tym także do pobierania niewielkich prób glebowych w terenie.</w:t>
            </w:r>
          </w:p>
          <w:p w:rsidR="0031259C" w:rsidRPr="00B33169" w:rsidRDefault="00B33169" w:rsidP="00B33169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</w:pPr>
            <w:r w:rsidRPr="00500B0A">
              <w:rPr>
                <w:sz w:val="18"/>
                <w:szCs w:val="18"/>
              </w:rPr>
              <w:t>Indeks</w:t>
            </w:r>
            <w:r w:rsidRPr="00500B0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Bad000327</w:t>
            </w: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>
            <w:pPr>
              <w:pStyle w:val="Normal1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>
            <w:pPr>
              <w:pStyle w:val="Normal1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 w:rsidP="00B33169">
            <w:pPr>
              <w:pStyle w:val="Akapitzlist1"/>
              <w:ind w:left="360"/>
            </w:pPr>
            <w: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169" w:rsidRPr="00897FBD" w:rsidRDefault="00B33169" w:rsidP="00B33169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</w:pPr>
            <w:r w:rsidRPr="00B33169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>Zestaw Podstawowy Do Chemii Organicznej I Nieorganicznej</w:t>
            </w:r>
          </w:p>
          <w:p w:rsidR="00B33169" w:rsidRPr="00897FBD" w:rsidRDefault="00B33169" w:rsidP="00B33169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</w:pPr>
            <w:r w:rsidRPr="00897FBD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t xml:space="preserve">Zestaw zawiera 92 elementy wykonane z kolorowego tworzywa sztucznego (we wcześniejszej wersji: 86 elementów) umożliwiające budowę szerokiej gamy struktur chemicznych. W zestawie znajdują się modele (52 sztuki) takich pierwiastków jak węgiel, wodór, bor, azot, tlen, siarka, fosfor, fluorowce i metale. Każdy pierwiastek reprezentowany jest przez 1-6 rodzajów modeli; np. fosfor reprezentowany jest przez trzy modele-kulki z 5 i 3 otworami oraz kątami 90 i 120 oraz 107, a metale reprezentowane są przez 6 modeli i mogą symbolizować m.in.: Cl, F, Na, Ca, Mg, Be, Al, Si, Cu. Wiązania (m.in. pojedyncze kowalencyjne, podwójne, potrójne, jonowe, a także złożone i wodorowe - np. w jonie miedzi czy lodzie) </w:t>
            </w:r>
            <w:r w:rsidRPr="00897FBD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lastRenderedPageBreak/>
              <w:t>symbolizowane są przez 3 rodzaje łączników. Dodatkowymi elementami są modele pierwiastków o strukturze sp3, dsp3, d2sp3 (3 sztuki) oraz 3 gruszkowate listki reprezentujące wolne pary elektronów (chmurę elektronową). Z elementów zestawu można budować duże i czytelne struktury - są poprawne i wyraźne.</w:t>
            </w:r>
          </w:p>
          <w:p w:rsidR="0031259C" w:rsidRPr="00897FBD" w:rsidRDefault="00B33169" w:rsidP="00B33169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18"/>
                <w:szCs w:val="18"/>
              </w:rPr>
            </w:pPr>
            <w:r w:rsidRPr="00897FBD">
              <w:rPr>
                <w:sz w:val="18"/>
                <w:szCs w:val="18"/>
              </w:rPr>
              <w:t>Indeks</w:t>
            </w:r>
            <w:r w:rsidRPr="00897FBD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Che000012</w:t>
            </w: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>
            <w:pPr>
              <w:pStyle w:val="Normal1"/>
              <w:jc w:val="center"/>
            </w:pPr>
            <w:r>
              <w:lastRenderedPageBreak/>
              <w:t>zestaw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>
            <w:pPr>
              <w:pStyle w:val="Normal1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B33169" w:rsidP="00B33169">
            <w:pPr>
              <w:pStyle w:val="Akapitzlist1"/>
              <w:ind w:left="360"/>
            </w:pPr>
            <w: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3110" w:rsidRDefault="00B33169" w:rsidP="00B33169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18"/>
                <w:szCs w:val="18"/>
              </w:rPr>
            </w:pPr>
            <w:r w:rsidRPr="00B33169">
              <w:rPr>
                <w:rFonts w:ascii="Arial" w:hAnsi="Arial" w:cs="Arial"/>
                <w:b/>
                <w:bCs/>
                <w:color w:val="3F4C58"/>
                <w:kern w:val="36"/>
                <w:sz w:val="18"/>
                <w:szCs w:val="18"/>
              </w:rPr>
              <w:t>Elektroskop listkowy aluminiowy</w:t>
            </w:r>
          </w:p>
          <w:p w:rsidR="00897FBD" w:rsidRPr="006C3110" w:rsidRDefault="00897FBD" w:rsidP="00B33169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18"/>
                <w:szCs w:val="18"/>
              </w:rPr>
            </w:pPr>
            <w:r w:rsidRPr="00897FBD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Elektroskop listkowy używany podczas doświadczeń z elektrostatyki. Służy do mierzenia wysokich napięć stałych. Elektroskop wykorzystuje zjawisko odpychania się jednoimiennych ładunków elektrycznych. W momencie, kiedy zetkniemy obiekt naładowany elektrycznie z prętem elektroskopu, część ładunku przepływa z tego obiektu do elektroskopu, a listki folii odpychają się. Wielkość zgromadzonego ładunku na listkach determinuje kąt odchylenia listków</w:t>
            </w:r>
            <w:r w:rsidRPr="00897FBD"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  <w:br/>
            </w:r>
            <w:r w:rsidRPr="00897FBD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• wym. obudowy: 15 x 7 cm.</w:t>
            </w:r>
          </w:p>
          <w:p w:rsidR="00897FBD" w:rsidRPr="00500B0A" w:rsidRDefault="00897FBD" w:rsidP="00B33169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</w:pPr>
            <w:r w:rsidRPr="00500B0A">
              <w:rPr>
                <w:rStyle w:val="product-detail-ordernumber-label"/>
                <w:rFonts w:ascii="Arial" w:hAnsi="Arial" w:cs="Arial"/>
                <w:b/>
                <w:color w:val="4A545B"/>
                <w:sz w:val="18"/>
                <w:szCs w:val="18"/>
                <w:shd w:val="clear" w:color="auto" w:fill="FFFFFF"/>
              </w:rPr>
              <w:t>Kod produktu</w:t>
            </w:r>
            <w:r w:rsidRPr="00500B0A">
              <w:rPr>
                <w:rStyle w:val="product-detail-ordernumber-label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: </w:t>
            </w:r>
            <w:r w:rsidRPr="00500B0A">
              <w:rPr>
                <w:rStyle w:val="product-detail-ordernumber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841150</w:t>
            </w:r>
          </w:p>
          <w:p w:rsidR="0031259C" w:rsidRPr="00897FBD" w:rsidRDefault="0031259C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6C3110">
            <w:pPr>
              <w:pStyle w:val="Normal1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6C3110">
            <w:pPr>
              <w:pStyle w:val="Normal1"/>
              <w:jc w:val="center"/>
            </w:pPr>
            <w: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6C3110" w:rsidP="006C3110">
            <w:pPr>
              <w:pStyle w:val="Akapitzlist1"/>
              <w:ind w:left="360"/>
            </w:pPr>
            <w:r>
              <w:lastRenderedPageBreak/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3110" w:rsidRDefault="006C3110" w:rsidP="006C3110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</w:pPr>
            <w:r w:rsidRPr="006C3110"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  <w:t>Komora próżniowa</w:t>
            </w:r>
          </w:p>
          <w:p w:rsidR="006C3110" w:rsidRPr="006C3110" w:rsidRDefault="006C3110" w:rsidP="006C3110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</w:pPr>
            <w:r w:rsidRPr="006C3110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Łatwa w obsłudze komora próżniowa. W zestawie hermetyczny pojemnik i pompa ręczna służąca do wyciągnięcia powietrza z komory. Elementy wykonane z tworzywa sztucznego. # wym. pojemnika 12,5 x 10,5 cm # dł. pompki 14 cm</w:t>
            </w:r>
          </w:p>
          <w:p w:rsidR="006C3110" w:rsidRPr="006C3110" w:rsidRDefault="006C3110" w:rsidP="006C3110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18"/>
                <w:szCs w:val="18"/>
              </w:rPr>
            </w:pPr>
            <w:r w:rsidRPr="006C3110">
              <w:rPr>
                <w:rStyle w:val="product-detail-ordernumber-label"/>
                <w:rFonts w:ascii="Arial" w:hAnsi="Arial" w:cs="Arial"/>
                <w:b/>
                <w:color w:val="4A545B"/>
                <w:sz w:val="18"/>
                <w:szCs w:val="18"/>
                <w:shd w:val="clear" w:color="auto" w:fill="FFFFFF"/>
              </w:rPr>
              <w:t>Kod produktu</w:t>
            </w:r>
            <w:r w:rsidRPr="006C3110">
              <w:rPr>
                <w:rStyle w:val="product-detail-ordernumber-label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: </w:t>
            </w:r>
            <w:r w:rsidRPr="006C3110">
              <w:rPr>
                <w:rStyle w:val="product-detail-ordernumber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604266</w:t>
            </w:r>
          </w:p>
          <w:p w:rsidR="0031259C" w:rsidRPr="00897FBD" w:rsidRDefault="0031259C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6C3110">
            <w:pPr>
              <w:pStyle w:val="Normal1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6C3110">
            <w:pPr>
              <w:pStyle w:val="Normal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6C3110" w:rsidP="006C3110">
            <w:pPr>
              <w:pStyle w:val="Akapitzlist1"/>
              <w:ind w:left="360"/>
            </w:pPr>
            <w: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3110" w:rsidRDefault="006C3110" w:rsidP="006C3110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</w:pPr>
            <w:r w:rsidRPr="006C3110"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  <w:t xml:space="preserve">Pryzmat szklany </w:t>
            </w:r>
            <w:r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  <w:t>–</w:t>
            </w:r>
            <w:r w:rsidRPr="006C3110"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  <w:t xml:space="preserve"> trójkątny</w:t>
            </w:r>
          </w:p>
          <w:p w:rsidR="006C3110" w:rsidRPr="003777F8" w:rsidRDefault="006C3110" w:rsidP="006C3110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</w:pPr>
            <w:r w:rsidRPr="003777F8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Pryzmat szklany, trójkątny, równoboczny o lekko sfazowanych krawędziach. Doskonały do przeprowadzania doświadczeń fizycznych z zakresu optyki, także wykraczających poza podstawowy eksperyment, jakim w szkole jest demonstracja rozszczepiania światła. Używając pryzmatów można badać załamanie promienia świetlnego w pryzmacie i innych ośrodkach, całkowite wewnętrzne odbicie, czy też określać kąt graniczny.</w:t>
            </w:r>
            <w:r w:rsidRPr="003777F8"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  <w:br/>
            </w:r>
            <w:r w:rsidRPr="003777F8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lastRenderedPageBreak/>
              <w:t>• kąty 60°</w:t>
            </w:r>
            <w:r w:rsidRPr="003777F8"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  <w:br/>
            </w:r>
            <w:r w:rsidRPr="003777F8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• wym. 3,8 x 3,8 x 3,8 cm</w:t>
            </w:r>
          </w:p>
          <w:p w:rsidR="006C3110" w:rsidRPr="00500B0A" w:rsidRDefault="006C3110" w:rsidP="006C3110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18"/>
                <w:szCs w:val="18"/>
              </w:rPr>
            </w:pPr>
            <w:r w:rsidRPr="00500B0A">
              <w:rPr>
                <w:rStyle w:val="product-detail-ordernumber-label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Kod produktu: </w:t>
            </w:r>
            <w:r w:rsidRPr="00500B0A">
              <w:rPr>
                <w:rStyle w:val="product-detail-ordernumber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571128</w:t>
            </w:r>
          </w:p>
          <w:p w:rsidR="0031259C" w:rsidRDefault="0031259C">
            <w:pPr>
              <w:pStyle w:val="Normal1"/>
            </w:pP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>
            <w:pPr>
              <w:pStyle w:val="Normal1"/>
              <w:jc w:val="center"/>
            </w:pPr>
            <w:r>
              <w:lastRenderedPageBreak/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>
            <w:pPr>
              <w:pStyle w:val="Normal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rPr>
          <w:trHeight w:val="680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 w:rsidP="003777F8">
            <w:pPr>
              <w:pStyle w:val="Akapitzlist1"/>
              <w:ind w:left="360"/>
            </w:pPr>
            <w:r>
              <w:lastRenderedPageBreak/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 w:rsidP="003777F8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</w:pPr>
            <w:r w:rsidRPr="003777F8"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  <w:t>Trójnóg okrągły ze stali</w:t>
            </w:r>
          </w:p>
          <w:p w:rsidR="003777F8" w:rsidRDefault="003777F8" w:rsidP="003777F8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</w:pPr>
            <w:r w:rsidRPr="003777F8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Trójnóg laboratoryjny, okrągły, chromowany. # wym. 12,5 x 20 cm</w:t>
            </w:r>
          </w:p>
          <w:p w:rsidR="003777F8" w:rsidRPr="00500B0A" w:rsidRDefault="003777F8" w:rsidP="003777F8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18"/>
                <w:szCs w:val="18"/>
              </w:rPr>
            </w:pPr>
            <w:r w:rsidRPr="00500B0A">
              <w:rPr>
                <w:rStyle w:val="product-detail-ordernumber-label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Kod produktu: </w:t>
            </w:r>
            <w:r w:rsidRPr="00500B0A">
              <w:rPr>
                <w:rStyle w:val="product-detail-ordernumber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841069</w:t>
            </w: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>
            <w:pPr>
              <w:pStyle w:val="Normal1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>
            <w:pPr>
              <w:pStyle w:val="Normal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 w:rsidP="003777F8">
            <w:pPr>
              <w:pStyle w:val="Akapitzlist1"/>
              <w:ind w:left="360"/>
            </w:pPr>
            <w: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7F8" w:rsidRDefault="003777F8" w:rsidP="003777F8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</w:pPr>
            <w:r w:rsidRPr="003777F8"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  <w:t>Siatka z krążkiem ceramicznym</w:t>
            </w:r>
          </w:p>
          <w:p w:rsidR="003777F8" w:rsidRDefault="003777F8" w:rsidP="003777F8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</w:pPr>
            <w:r w:rsidRPr="003777F8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Siatka z krążkiem ceramicznym. # wym. 14 x 14 cm</w:t>
            </w:r>
          </w:p>
          <w:p w:rsidR="003777F8" w:rsidRPr="003777F8" w:rsidRDefault="003777F8" w:rsidP="003777F8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8496B0" w:themeColor="text2" w:themeTint="99"/>
                <w:kern w:val="36"/>
                <w:sz w:val="18"/>
                <w:szCs w:val="18"/>
              </w:rPr>
            </w:pPr>
            <w:r w:rsidRPr="00500B0A">
              <w:rPr>
                <w:rStyle w:val="product-detail-ordernumber-label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Kod produktu: </w:t>
            </w:r>
            <w:r w:rsidRPr="00500B0A">
              <w:rPr>
                <w:rStyle w:val="product-detail-ordernumber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841070</w:t>
            </w:r>
          </w:p>
          <w:p w:rsidR="0031259C" w:rsidRDefault="0031259C">
            <w:pPr>
              <w:pStyle w:val="Normal1"/>
            </w:pP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>
            <w:pPr>
              <w:pStyle w:val="Normal1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>
            <w:pPr>
              <w:pStyle w:val="Normal1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777F8" w:rsidP="003777F8">
            <w:pPr>
              <w:pStyle w:val="Akapitzlist1"/>
              <w:ind w:left="360"/>
            </w:pPr>
            <w: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7F8" w:rsidRDefault="003777F8" w:rsidP="003777F8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</w:pPr>
            <w:r w:rsidRPr="003777F8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 xml:space="preserve">Wózek Do Zderzeń I Obciążania, </w:t>
            </w:r>
            <w:proofErr w:type="spellStart"/>
            <w:r w:rsidRPr="003777F8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>Kpl</w:t>
            </w:r>
            <w:proofErr w:type="spellEnd"/>
            <w:r w:rsidRPr="003777F8"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24"/>
                <w:szCs w:val="24"/>
              </w:rPr>
              <w:t>. 2</w:t>
            </w:r>
          </w:p>
          <w:p w:rsidR="003777F8" w:rsidRPr="00500B0A" w:rsidRDefault="003777F8" w:rsidP="003777F8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</w:pPr>
            <w:r w:rsidRPr="00500B0A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t xml:space="preserve">Zestaw dwóch jednakowych wózków - oba wózki zaprojektowane i dedykowane do doświadczeń fizycznych (ruch, energia, praca,...). Każdy wózek ma cztery koła o niskim współczynniku tarcia, a sam wózek, z tworzywa sztucznego, wykonano </w:t>
            </w:r>
            <w:r w:rsidRPr="00500B0A">
              <w:rPr>
                <w:rFonts w:ascii="Arial" w:hAnsi="Arial" w:cs="Arial"/>
                <w:color w:val="7D879C"/>
                <w:sz w:val="18"/>
                <w:szCs w:val="18"/>
                <w:shd w:val="clear" w:color="auto" w:fill="FFFFFF"/>
              </w:rPr>
              <w:lastRenderedPageBreak/>
              <w:t>jako jedną całość (z jednej formy wtryskowej) – jest odporny, nie wymaga regulacji, a pośrodku ma przestrzeń do obciążania.</w:t>
            </w:r>
          </w:p>
          <w:p w:rsidR="00500B0A" w:rsidRPr="003777F8" w:rsidRDefault="00500B0A" w:rsidP="003777F8">
            <w:pPr>
              <w:shd w:val="clear" w:color="auto" w:fill="FFFFFF"/>
              <w:spacing w:before="100" w:beforeAutospacing="1" w:after="100" w:afterAutospacing="1" w:line="450" w:lineRule="atLeast"/>
              <w:outlineLvl w:val="0"/>
              <w:rPr>
                <w:rFonts w:ascii="Arial" w:hAnsi="Arial" w:cs="Arial"/>
                <w:b/>
                <w:bCs/>
                <w:color w:val="1D2A38"/>
                <w:spacing w:val="5"/>
                <w:kern w:val="36"/>
                <w:sz w:val="18"/>
                <w:szCs w:val="18"/>
              </w:rPr>
            </w:pPr>
            <w:r w:rsidRPr="00500B0A">
              <w:rPr>
                <w:sz w:val="18"/>
                <w:szCs w:val="18"/>
              </w:rPr>
              <w:t>Indeks</w:t>
            </w:r>
            <w:r w:rsidRPr="00500B0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Fiz000707</w:t>
            </w:r>
          </w:p>
          <w:p w:rsidR="0031259C" w:rsidRDefault="0031259C">
            <w:pPr>
              <w:pStyle w:val="Normal1"/>
            </w:pP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500B0A">
            <w:pPr>
              <w:pStyle w:val="Normal1"/>
              <w:jc w:val="center"/>
            </w:pPr>
            <w:r>
              <w:lastRenderedPageBreak/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500B0A">
            <w:pPr>
              <w:pStyle w:val="Normal1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  <w:tr w:rsidR="0031259C" w:rsidTr="00500B0A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500B0A" w:rsidP="00500B0A">
            <w:pPr>
              <w:pStyle w:val="Akapitzlist1"/>
              <w:ind w:left="360"/>
            </w:pPr>
            <w:r>
              <w:lastRenderedPageBreak/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B0A" w:rsidRDefault="00500B0A" w:rsidP="00500B0A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</w:pPr>
            <w:r w:rsidRPr="00500B0A">
              <w:rPr>
                <w:rFonts w:ascii="Arial" w:hAnsi="Arial" w:cs="Arial"/>
                <w:b/>
                <w:bCs/>
                <w:color w:val="3F4C58"/>
                <w:kern w:val="36"/>
                <w:sz w:val="24"/>
                <w:szCs w:val="24"/>
              </w:rPr>
              <w:t>Suszarka na szkło laboratoryjne</w:t>
            </w:r>
          </w:p>
          <w:p w:rsidR="00500B0A" w:rsidRPr="00500B0A" w:rsidRDefault="00500B0A" w:rsidP="00500B0A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</w:pPr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ociekacz</w:t>
            </w:r>
            <w:proofErr w:type="spellEnd"/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 xml:space="preserve"> w komplecie</w:t>
            </w:r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  <w:br/>
            </w:r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• wykonana ze stali, z powłoką z tworzywa sztucznego</w:t>
            </w:r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  <w:br/>
            </w:r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• 32 miejsca</w:t>
            </w:r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</w:rPr>
              <w:br/>
            </w:r>
            <w:r w:rsidRPr="00500B0A">
              <w:rPr>
                <w:rFonts w:ascii="Arial" w:hAnsi="Arial" w:cs="Arial"/>
                <w:color w:val="8496B0" w:themeColor="text2" w:themeTint="99"/>
                <w:sz w:val="18"/>
                <w:szCs w:val="18"/>
                <w:shd w:val="clear" w:color="auto" w:fill="FFFFFF"/>
              </w:rPr>
              <w:t>• wym. 36 x 15 x 47 cm</w:t>
            </w:r>
          </w:p>
          <w:p w:rsidR="00500B0A" w:rsidRPr="00500B0A" w:rsidRDefault="00500B0A" w:rsidP="00500B0A">
            <w:pPr>
              <w:shd w:val="clear" w:color="auto" w:fill="FFFFFF"/>
              <w:spacing w:after="300" w:line="660" w:lineRule="atLeast"/>
              <w:outlineLvl w:val="0"/>
              <w:rPr>
                <w:rFonts w:ascii="Arial" w:hAnsi="Arial" w:cs="Arial"/>
                <w:b/>
                <w:bCs/>
                <w:color w:val="8496B0" w:themeColor="text2" w:themeTint="99"/>
                <w:kern w:val="36"/>
                <w:sz w:val="18"/>
                <w:szCs w:val="18"/>
              </w:rPr>
            </w:pPr>
            <w:r w:rsidRPr="00500B0A">
              <w:rPr>
                <w:rStyle w:val="product-detail-ordernumber-label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Kod produktu: </w:t>
            </w:r>
            <w:r w:rsidRPr="00500B0A">
              <w:rPr>
                <w:rStyle w:val="product-detail-ordernumber"/>
                <w:rFonts w:ascii="Arial" w:hAnsi="Arial" w:cs="Arial"/>
                <w:color w:val="4A545B"/>
                <w:sz w:val="18"/>
                <w:szCs w:val="18"/>
                <w:shd w:val="clear" w:color="auto" w:fill="FFFFFF"/>
              </w:rPr>
              <w:t>571032</w:t>
            </w:r>
          </w:p>
          <w:p w:rsidR="0031259C" w:rsidRDefault="0031259C">
            <w:pPr>
              <w:pStyle w:val="Normal1"/>
            </w:pPr>
          </w:p>
        </w:tc>
        <w:tc>
          <w:tcPr>
            <w:tcW w:w="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500B0A">
            <w:pPr>
              <w:pStyle w:val="Normal1"/>
              <w:jc w:val="center"/>
            </w:pPr>
            <w: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500B0A">
            <w:pPr>
              <w:pStyle w:val="Normal1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59C" w:rsidRDefault="0031259C">
            <w:pPr>
              <w:pStyle w:val="Normal1"/>
              <w:jc w:val="center"/>
            </w:pPr>
          </w:p>
        </w:tc>
      </w:tr>
    </w:tbl>
    <w:p w:rsidR="0031259C" w:rsidRDefault="0031259C" w:rsidP="0031259C"/>
    <w:p w:rsidR="00CA6B32" w:rsidRDefault="00CA6B32"/>
    <w:sectPr w:rsidR="00CA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52415"/>
    <w:multiLevelType w:val="hybridMultilevel"/>
    <w:tmpl w:val="D25C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9C"/>
    <w:rsid w:val="0031259C"/>
    <w:rsid w:val="003777F8"/>
    <w:rsid w:val="00500B0A"/>
    <w:rsid w:val="006C3110"/>
    <w:rsid w:val="00897FBD"/>
    <w:rsid w:val="00B33169"/>
    <w:rsid w:val="00CA6B32"/>
    <w:rsid w:val="00E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F3277-F499-4470-9B68-6A157612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31259C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1259C"/>
    <w:pPr>
      <w:spacing w:before="100" w:beforeAutospacing="1" w:after="100" w:afterAutospacing="1" w:line="252" w:lineRule="auto"/>
      <w:contextualSpacing/>
    </w:pPr>
    <w:rPr>
      <w:rFonts w:ascii="Calibri" w:hAnsi="Calibri"/>
      <w:sz w:val="24"/>
      <w:szCs w:val="24"/>
    </w:rPr>
  </w:style>
  <w:style w:type="table" w:customStyle="1" w:styleId="TableGrid1">
    <w:name w:val="Table Grid1"/>
    <w:basedOn w:val="Standardowy"/>
    <w:rsid w:val="0031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oduct-detail-ordernumber-label">
    <w:name w:val="product-detail-ordernumber-label"/>
    <w:basedOn w:val="Domylnaczcionkaakapitu"/>
    <w:rsid w:val="00897FBD"/>
  </w:style>
  <w:style w:type="character" w:customStyle="1" w:styleId="product-detail-ordernumber">
    <w:name w:val="product-detail-ordernumber"/>
    <w:basedOn w:val="Domylnaczcionkaakapitu"/>
    <w:rsid w:val="0089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2023-11-14T08:18:00Z</dcterms:created>
  <dcterms:modified xsi:type="dcterms:W3CDTF">2023-11-14T08:18:00Z</dcterms:modified>
</cp:coreProperties>
</file>