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AC" w:rsidRPr="00DB43AC" w:rsidRDefault="00DB43AC" w:rsidP="00DB43A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43AC" w:rsidRPr="00DB43AC" w:rsidRDefault="00DB43AC" w:rsidP="00DB43A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B43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3 do SWZ – Opis przedmiotu zamówienia </w:t>
      </w:r>
    </w:p>
    <w:p w:rsidR="00DB43AC" w:rsidRPr="00DB43AC" w:rsidRDefault="00DB43AC" w:rsidP="00DB43A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B43AC" w:rsidRPr="00DB43AC" w:rsidRDefault="00DB43AC" w:rsidP="00DB43A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B43AC" w:rsidRPr="00DB43AC" w:rsidRDefault="00DB43AC" w:rsidP="00DB43AC">
      <w:pPr>
        <w:tabs>
          <w:tab w:val="left" w:pos="9071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u w:val="single"/>
          <w:lang w:eastAsia="pl-PL"/>
        </w:rPr>
        <w:t>Instrukcja wypełniania załącznika nr 3: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1. Wykonawca sporządzając ofertę wypełnia jedynie kolumnę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Parametry oferowanego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urządzenia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”.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2. Wykonawca wypełnia wszystkie wiersze kolumny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„Parametry oferowanego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urządzenia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” uwzględniając zapisy w poszczególnych wierszach i kolumnach poniższej tabeli. 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3. Jeśli w kolumnie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Parametr graniczny/wartość”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występuje zapis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TAK”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to oznacza, iż Zamawiający bezwzględnie wymaga parametru podanego w kolumnie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„Opis </w:t>
      </w:r>
      <w:r w:rsidRPr="00DB43AC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wymaganych parametrów technicznych/pakiet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”.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Wykonawca w celu potwierdzenia spełnienia parametru zobowiązany jest do wpisania słowa 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„TAK”.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4. W przypadku, gdy w kolumnie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Parametr graniczny/wartość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>” występuje zapis: „</w:t>
      </w:r>
      <w:r w:rsidRPr="00DB43AC">
        <w:rPr>
          <w:rFonts w:ascii="Verdana" w:eastAsia="Times New Roman" w:hAnsi="Verdana" w:cs="Tahoma"/>
          <w:b/>
          <w:sz w:val="18"/>
          <w:szCs w:val="18"/>
          <w:lang w:eastAsia="pl-PL"/>
        </w:rPr>
        <w:t>podać; opisać; wymienić; wyszczególnić; itp.”</w:t>
      </w: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 Wykonawca zobowiązany jest do podania; opisania; wymienienia; wyszczególnienia; itp. parametrów dla zaoferowanego produktu.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Calibri" w:hAnsi="Verdana" w:cs="Times New Roman"/>
          <w:sz w:val="18"/>
          <w:szCs w:val="18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5. 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W przypadku, gdy w kolumnie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„Parametr graniczny/wartość”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występuje zapis: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„TAK, podać; TAK, opisać; TAK, wymienić; TAK, wyszczególnić; itp.”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to Wykonawca zobowiązany jest do wpisania słowa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oraz do podania; opisania; wymienienia; wyszczególnienia; itp. parametrów dla zaoferowanego produktu.</w:t>
      </w:r>
    </w:p>
    <w:p w:rsidR="00DB43AC" w:rsidRPr="00DB43AC" w:rsidRDefault="00DB43AC" w:rsidP="00DB43AC">
      <w:pPr>
        <w:tabs>
          <w:tab w:val="left" w:pos="9071"/>
        </w:tabs>
        <w:spacing w:after="0" w:line="360" w:lineRule="auto"/>
        <w:ind w:left="180" w:hanging="18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B43AC">
        <w:rPr>
          <w:rFonts w:ascii="Verdana" w:eastAsia="Times New Roman" w:hAnsi="Verdana" w:cs="Tahoma"/>
          <w:sz w:val="18"/>
          <w:szCs w:val="18"/>
          <w:lang w:eastAsia="pl-PL"/>
        </w:rPr>
        <w:t xml:space="preserve">6. 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W przypadku, gdy w kolumnie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„Parametr graniczny/wartość”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występuje zapis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„TAK/nie”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Wykonawca przypadku spełniania lub niespełniania parametru wpisuje odpowiednio słowo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„TAK”</w:t>
      </w:r>
      <w:r w:rsidRPr="00DB43AC">
        <w:rPr>
          <w:rFonts w:ascii="Verdana" w:eastAsia="Calibri" w:hAnsi="Verdana" w:cs="Times New Roman"/>
          <w:sz w:val="18"/>
          <w:szCs w:val="18"/>
        </w:rPr>
        <w:t xml:space="preserve"> lub </w:t>
      </w:r>
      <w:r w:rsidRPr="00DB43AC">
        <w:rPr>
          <w:rFonts w:ascii="Verdana" w:eastAsia="Calibri" w:hAnsi="Verdana" w:cs="Times New Roman"/>
          <w:b/>
          <w:sz w:val="18"/>
          <w:szCs w:val="18"/>
        </w:rPr>
        <w:t>„nie”.</w:t>
      </w:r>
    </w:p>
    <w:p w:rsidR="00DB43AC" w:rsidRPr="00DB43AC" w:rsidRDefault="00DB43AC" w:rsidP="00DB43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B43AC" w:rsidRPr="00DB43AC" w:rsidRDefault="00DB43AC" w:rsidP="00DB43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572"/>
        <w:gridCol w:w="1840"/>
        <w:gridCol w:w="1319"/>
        <w:gridCol w:w="1127"/>
      </w:tblGrid>
      <w:tr w:rsidR="00DB43AC" w:rsidRPr="00DB43AC" w:rsidTr="00DB43AC">
        <w:trPr>
          <w:trHeight w:val="84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wymaganych parametrów technicznych/pakiet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graniczny/wartość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Parametry oferowanego urządzenia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Punktacja</w:t>
            </w:r>
          </w:p>
        </w:tc>
      </w:tr>
      <w:tr w:rsidR="00DB43AC" w:rsidRPr="00DB43AC" w:rsidTr="00DB43AC">
        <w:trPr>
          <w:trHeight w:val="402"/>
        </w:trPr>
        <w:tc>
          <w:tcPr>
            <w:tcW w:w="2674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PAKIET I - Bipolarny system do zamykania naczyń - 1 zestaw</w:t>
            </w:r>
          </w:p>
        </w:tc>
        <w:tc>
          <w:tcPr>
            <w:tcW w:w="99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33161000-6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mono i bipolarne z systemem zamykania naczyń do 7 [mm] włącznie oraz resekcją bipolarną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zasilanie elektryczne z sieci 220 do 240 [V]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zabezpieczenie przed przeciążeniem aparatu oraz w przypadku przejścia z zasilania prądem zmiennym na zasilanie z awaryjnego źródła napięcia urządzenie pracuje normalnie, bez żadnych błędów ani awarii systemu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aparat z zabezpieczeniem przed impulsem defibrylacji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automatyczny test urządzenia po uruchomieniu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ekran dotykowy LCD, min. 6 ["]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informacja o poprawnym podłączeniu elektrody biernej na wyświetlaczu urządzenia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system wykonujący min. 425 000 operacji logicznych na sekundę, stale badając oporność koagulowanej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tkanki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koagulacja w systemie zamykania naczyń osiągana w zakresie czasu max. 1-4 [s]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70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wyposażone w gniazda (min.):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Panel przedni: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uniwersalnego portu przełącznika nożnego,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1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narzędzia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bipolarne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do systemu zamykania naczyń oraz resekcji bipolarnej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do podłączenia elektrody biernej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Panel tylny: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sterownika nożnego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1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sterownika nożnego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2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sterownika nożnego bipolarnego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do sterownika nożnego do systemu zamykania naczyń/resekcji bipolarnej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Ethernet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antena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WiFi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gniazdo sterowania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ewakuatorem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dymu oraz zapisu EKG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zacisk uziemienia ekwipotencjalnego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gniazdo przewodu sieciowego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23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tryby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min.: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cięcie czyste (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cut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),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cięcie mieszane (blend),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zaawansowany tryb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pozwalający uzyskać wyjątkową kombinacje hemostazy i rozcinania typu efektu noża harmonicznego. Użytkownik może zwolnić cięcie aby uzyskać większą hemostazę (koagulacje) i przyspieszyć aby uzyskać lepsze rozcinanie (cięcie)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koagulacja wyżarzanie, bezkontaktowa (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fulgurate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koagulacja rozpylanie (spray)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koagulacja łagodna (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soft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),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ciągła sinusoida o częstotliwości 434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97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tryby bipolarne min.: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niski (moc max. 15 [W])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standardowy  (moc max. 40 [W])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makro (moc max. 95 [W])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funkcja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autobipolar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– możliwość automatycznego rozpoczęcia i zakończenia pracy oraz samodzielnej regulacji przez personel medyczny czasu opóźnienia funkcji auto-start z dokładnością do co max. 0,5 [s] w zakresie od 0 do 2,5 [s]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0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system zamykania naczyń  pozwalający zespalać tętnice, żyły i naczynia limfatyczne o średnicy do 7 [mm]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tryb bipolarny moc max. 95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cięcie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tryb czysty moc max. 300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cięcie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tryb mieszany moc max. 200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zaawansowany tryb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pozwalający uzyskać wyjątkową kombinacje hemostazy i rozcinania. Użytkownik może zwolnić cięcie aby uzyskać większą hemostazę (koagulacje) i przyspieszyć aby uzyskać lepsze rozcinanie (cięcie) moc max. 200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koagulacja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– wyżarzanie moc max. 120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koagulacja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-  rozpylanie moc max. 120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system zamykania naczyń moc max. 350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resekcja bipolarna moc max. cięcie 375 [W] i koagulacja 175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aktywacja trybu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 włącznika nożnego i uchwytu elektrody czynnej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aktywacja koagulacji bipolarnej z włącznika nożnego i automatycznie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informacja o poprawnie podłączonym urządzeniu w formie wizualnej na ekranie poprzez podświetlenie odpowiedniego pola ekranu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wizualna i akustyczna sygnalizacja nieprawidłowego działania urządzenia: komunikaty i opisy nieprawidłowości w języku polskim, kody serwisowe, pamięć kodów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zróżnicowany sygnał dźwiękowy dla trybów alarmowych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4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wyposażone w system zabezpieczenia pacjenta przed poparzeniem w polu przylegania płytki biernej - automatyczny,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adaptywny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system bezpieczeństwa dla elektrody powrotnej w zakresie min. 5-135 [Ohm]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razie złej aplikacji elektrody powrotnej, aparat alarmuje o stanie zagrożenia – sygnałem dźwiękowym i wizualnie za pomocą wyświetlanych na ekranach komunikatach. W konsekwencji przerywana jest praca aparatu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zróżnicowany sygnał dźwiękowy dla różnych trybów pracy z możliwością swobodnej regulacji głośności (nie dotyczy dźwięków alarmowych)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wizualizacja nastawianej mocy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gniazda przyłączeniowe automatycznie rozpoznające podłączone narzędzie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możliwość ustawiania mocy zaawansowanego trybu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monopolarnego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ze sterylnego pola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bezpłatnej aktualizacji oprogramowania w urządzeniu przez użytkownika (update)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skuteczność systemu zamykania naczyń potwierdzona badaniami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4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Wyposażenie do systemu: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włącznik nożny bipolarny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włącznik nożny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kabel wielorazowy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monopolarny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 narzędzi laparoskopowych min. 3,5 [m]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wózek kompatybilny z oferowanym sprzętem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kabel zasilający 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jednorazowe narzędzie do zamykania naczyń krwionośnych płucnych i limfatycznych do 7 [mm] włącznie  (potwierdzone w IFU), długości 300 [mm] ± 10 [mm], szczęki zagięte 20 [mm] ± 1 [mm], z nożem, bez blokady szczęk, pokryte powłoką w nanotechnologii w celu mniejszej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przywieralności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tkanki - 36 szt.</w:t>
            </w:r>
          </w:p>
        </w:tc>
        <w:tc>
          <w:tcPr>
            <w:tcW w:w="999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4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systemu oferowanego w pakiecie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na wszystkie elementy zestawu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60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 xml:space="preserve">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4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3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40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3"/>
        <w:gridCol w:w="1841"/>
        <w:gridCol w:w="1319"/>
        <w:gridCol w:w="1126"/>
      </w:tblGrid>
      <w:tr w:rsidR="00DB43AC" w:rsidRPr="00DB43AC" w:rsidTr="00DB43AC">
        <w:trPr>
          <w:trHeight w:val="402"/>
        </w:trPr>
        <w:tc>
          <w:tcPr>
            <w:tcW w:w="2673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>PAKIET II - Cyfrowy zestaw do drenażu - 23 sztuki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33190000-8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 - 2023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przenośny cyfrowy zestaw przeznaczony do drenażu klatki piersiowej, waga urządzenia (bez pojemnika i drenów) max. 1 [kg]. Urządzenie wyposażone w uchwyt i pasek do przenoszenia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[2,1]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oferowane urządzenie wyposażone w wewnętrzną elektryczna pompę ssącą o wydajności do 5 [l/min] i regulowanym precyzyjnie podciśnieniu do max. 10 [kpa] (75 [kmh]) przystosowana jest do ciągłego prowadzenia drenażu klatki piersiowej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zasilanie sieciowe (w komplecie do każdego oferowanego urządzenia) - zasilacz sieciowy zasilanie sieciowe 230 [V] ± 10%, 50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wbudowany akumulator Li-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Ion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pozwalający na pracę urządzenia przez okres min. 3 [h]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 zestawie do każdego oferowanego urządzenia - stacja dokująca z uchwytem szynowym 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urządzenie zapewniające uregulowanie ciśnienia drenażu po stronie pacjenta, redukuje efekt syfonu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urządzenie wyposażone w panel elektroniczny z menu obsługi w języku polskim, umożliwiający sterowanie urządzeniem. Na wyświetlaczu zestawu prezentacja parametrów drenażu min. podciśnienia, przecieku powietrza oraz ilości płynu - w systemie cyfrowym i graficznym (w postaci trendów historycznych – do 72 godzin terapii)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oferowane urządzenie wyposażone w system alarmowy (dźwiękowy i wizualny, wyświetlany na panelu elektronicznym) informujący m.in. o: wymianie kanistra, zatkaniu drenów, nieszczelności układu, rozładowanej baterii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zabezpieczenia przed zanikiem podciśnienia po stronie pacjenta (zawór zabezpieczający jednokierunkowy) oraz przed przelaniem odsysanych wydzielin do wnętrza pompy i wylaniem ich poza układ ssący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komplecie do każdego urządzenia dedykowane oprogramowanie (dostarczane z nośnikiem) umożliwiające przenoszenie, prezentację oraz archiwizowanie danych z przebiegu drenażu pacjenta na PC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zestawów oferowanych w pakiecie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07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 wszystkich oferowanych w pakiecie cyfrowych zestawów do drenażu, świadczone przez Wykonawcę na terenie Szpitala im. Jana Pawła II w Krakowie na Oddziale Kl. Chirurgii Klatki Piersiowej (w pawilonie M I, parter),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8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402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PAKIET III -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Wideobronchoskop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- 3 sztuki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33168100-6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obrazowanie w systemie HDTV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kąt obserwacji, min. 120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kierunek widzenia 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głębia ostrego widzenia, min. 3 </w:t>
            </w:r>
            <w:r w:rsidRPr="00DB43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÷ 10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zewnętrzna sondy, max. 6,1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[2,1]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kanału roboczego, min. 3,0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kąty zagięcia końcówki endoskopu w górę/dół, min. 180 [°]/130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długość robocza, min. 600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programowalne przyciski sterujące głowicy endoskopu, min. 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wizualizacji w trybie wycięcia pasma czerwonego światła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przyłącze ssania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demontowalne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jednorazowego użytku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funkcja obrotu sondy prawo/lewo 120 [°]/120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jednostopniowe wodoszczelne złącze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2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oferowany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videobronchoskop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 pełni kompatybilny z posiadanym przez Zamawiającego procesorem video model EVIS EXERA III CV-190 (producent procesora Olympus) oraz źródłem światła model EVIS EXERA III CLV-190 (producent Olympus) oraz z myjniami serii ETD (producent Olympus) zainstalowanymi u Zamawiającego, w razie konieczności Wykonawca dostarczy dodatkowe adaptery do podłączenia oferowanego modelu bronchoskopu do posiadanych przez Zamawiającego myjni serii ETD (producent myjni Olympus)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Warunki gwarancji i serwisu dla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wideobronchoskopów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oferowanych w pakiecie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36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2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okresie gwarancji bezpłatne wykonywanie przeglądów okresowych, konserwacji oraz napraw w pełnym zakresie (obejmujące bezpłatny dojazd, robociznę i części) przy użyciu oryginalnych podzespołów i części zamiennych dostarczanych przez Producenta oferowanego sprzętu - wszystkie zgłaszane uszkodzenia będą podlegać bezpłatnej naprawie, w szczególności: zalanie wewnętrznych mechanizmów endoskopu, stłuczenie soczewki, przebicie kanału, zgniecenie/uszkodzenie mechaniczne  pancerza, nieszczelność endoskopu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czas naprawy uszkodzonego sprzętu będącego przedmiotem dostawy, Wykonawca zapewni Zamawiającemu urządzenie zastępcze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dostawa urządzenia zastępczego, o parametrach nie gorszych niż urządzenie naprawiane, nastąpi w ciągu max. 3 dni roboczych od daty zgłoszenia konieczności naprawy przez Zamawiającego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nazwa serwisu, adres, nr telefonu i faksu, osoba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lastRenderedPageBreak/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oferowany w pakiecie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videobronchoskop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posiadający min. deklarację zgodności CE - deklaracja zgodności w języku polskim lub angielskim ma być dostarczona przy dostawie sprzętu do Zamawiającego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402"/>
        </w:trPr>
        <w:tc>
          <w:tcPr>
            <w:tcW w:w="2673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PAKIET IV -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Wideobronchoskop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ultrasonograficzny - 2 sztuki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CPV: 33168000-5 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pełna kompatybilność oferowanego sprzętu ze sprzętem posiadanym przez Zamawiającego, tj.: system serii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Evis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Exera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III 190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kąt obserwacji, min. 80 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kierunek obserwacji skośnie, min. 20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głębia ostrości, min. 2-50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zewnętrzna wziernika, max. 7,0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[3,1]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średnica kanału roboczego, min. 2,2 [mm]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kąty zagięcia końcówki endoskopu w górę/dół, min. 120 [°]/70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podać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długość robocza wziernika, min. 600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częstotliwość skanowania, min. 5; 6; 7,5; 10; 12 [MHz]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kąt skanowania, min. 60 [°]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zawór ssania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demontowalny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jednorazowego użytku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Wyposażenie dodatkowe do oferowanych w pakiecie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wideobronchoskopów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ultrasonograficznych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kabel wizyjny USG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przeznaczony do podłączenia do posiadanych przez Zamawiającego central firmy Olympus typu EU - ME2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podać nr katalogowy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do każdego oferowanego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wideobronchoskopu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ultrasonograficznego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dedykowane zawory biopsyjne jednorazowego użytku - po 40 sztuk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podać nr katalogowy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oferowanych w pakiecie aparatów EBUS i kabla wizyjnego USG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na wszystkie elementy zestawu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345"/>
        </w:trPr>
        <w:tc>
          <w:tcPr>
            <w:tcW w:w="2673" w:type="pct"/>
            <w:gridSpan w:val="2"/>
            <w:tcBorders>
              <w:top w:val="double" w:sz="6" w:space="0" w:color="000000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>PAKIET V - Tor wizyjny do torakoskopii z oprzyrządowaniem - 1 zestaw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33168100-6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Medyczny monitor operacyjny 4K – 1 szt.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monitor pracujący w rozdzielczości min. 4K 3840 x 2160 [pikseli]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przekątna ekranu min. 32 [cale]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zawieszenie VESA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Sterownik kamery systemu obrazowania endoskopowego 4K/NIR ICG - 1 zestaw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sterownik kamery przeznaczony do wykorzystania z głowicą kamery 4K,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laparoskopowym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wideoendoskopem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4K 3D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sterownik kamery wyposażony w min. 2 wyjście wideo Display Port (3840 x 2160 [p], 50/60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sterownik kamery wyposażony w min. 1 wyjście wideo 12G-SDI (3840 x 2160 [p], 50/60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sterownik kamery wyposażony w min. 1 wyjście wideo DVI-D (1920 x 1080 [p], 50/60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sterownik kamery wyposażony w min. 3 gniazda USB umożliwiające podłączenie urządzeń peryferyjnych takich jak np.: pamięć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PenDrive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zewnętrzna klawiatura, dedykowana drukarka, włącznik nożny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 2 gniazda USB umieszczone na panelu przednim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zewnętrzna klawiatura USB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pamięć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PenDrive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 pojemności min. 32 [GB]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sterownik kamery wyposażony w menu obsługowe wyświetlane w postaci ikon na ekranie monitora operacyjnego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menu obsługowe wywoływane poprzez przycisk głowicy kamery,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wideoendoskopu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oraz poprzez zewnętrzną klawiaturę w przypadku obsługi ze strefy "brudnej" pola operacyjnego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możliwość przypisania min. dwóch funkcji do każdego z programowanych przycisków głowicy kamery 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wideoendoskopu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uruchamianie poprzez krótkie i długie wciśnięcie przycisku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sterownik kamery wyposażony w zintegrowane gniazdo do komunikacji z oferowanym źródłem światła w celu realizacji zmiany ustawień i trybów pracy bezpośrednio poprzez menu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automatycznej regulacji intensywności światła w źródle światła LED ustawiana poprzez menu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funkcje zapisu zdjęć i filmów w pamięci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PenDrive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uruchamianie zapisu poprzez menu sterownika kamery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zapis zdjęć w formacie: JPEG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zapis filmów w formacie: MPEG4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możliwość zaprogramowania funkcji uruchomienia zapisu zdjęcia i filmu wideo (start/stop) pod jednym przyciskiem głowicy kamery lub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wideoendoskopu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obrotu obrazu o 180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funkcja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zoom'u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cyfrowego, dostępne min. 5 poziomów regulacji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zoom'u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zmiana zoom poprzez menu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zintegrowany tryb wizualizacji wykorzystujący cyfrowe odfiltrowanie koloru czerwonego z obrazu wyświetlanego na ekranie monitora operacyjnego w celu poprawy różnicowania struktur tkankowych i unaczynienia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wykorzystanie trybu wizualizacji niezależne od zastosowanego źródła światła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wyświetlania poziomu intensywności światła źródła światła LED na ekranie monitora operacyjnego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0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indywidualną konfigurację menu sterownika kamery,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indywidualne przypisanie funkcji dostępnych bezpośrednio pod przyciskami głowicy kamery.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Zapis min. 20 indywidualnych profili użytkowników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8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funkcja importu/eksportu profili użytkowników z/do pamięci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PenDrive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indocyjaninowej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(ICG) w zakresie bliskiej podczerwieni (NIR) z wykorzystaniem dedykowanej głowicy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konstrukcja sterownika kamery otwarta na rozbudowę o możliwość podłączenia dedykowanego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egzoskopu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3D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stopień ochrony: CF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Głowica kamery 4K UHD/ICG – 1 szt.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głowica kamery kompatybilna z oferowanym sterownikiem kamery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głowica kamery kompatybilna z funkcją obrazowana w trybie bliskiej podczerwieni z użyciem zieleni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indocyjaninowej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(ICG)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praca głowicy kamery w standardzie rozdzielczości min. 4K UHD, 3840 × 2160 [pikseli], progressive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scan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50/60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głowica kamery wyposażona w min. 3 przyciski sterujące funkcjami sterownika kamery w tym min. 2 programowalne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możliwość sterylizacji w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EtO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stopień ochrony: CF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waga głowicy, max. 260 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[2,1]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Głowica kamery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– 1 szt.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głowica kamery z 3 x CCD wyposażona w zintegrowany obiektyw o zmiennej ogniskowej zapewniający min. 2 x powiększenie optyczne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czułość kamery ≤1,2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lux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min. 3 przyciski sterujące funkcjami kamery umieszczone na głowicy kamery, w tym 1 dedykowany do wywołania menu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moduł sterownika kamery kompatybilny z głowicą kamery Full HD i kompatybilny z modułem sterującym oferowanego systemu 4K – 1 szt.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Źródło światła LED - 1 zestaw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źródło światła LED kompatybilne z oferowanym sterownikiem kamery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obsługa źródła światła poprzez ekran dotykowy oraz menu obsługowe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źródło światła wyposażone w tryby światła białego i tryby światła bliskiej podczerwieni przeznaczone do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obrazowania fluorescencyjnego z użyciem ICG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dostępne tryby światła bliskiej podczerwieni min.: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tryb monochromatyczny - obraz uzyskany z fluorescencji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nałożony - obraz w świetle białym z nałożonym obrazem fluorescencyjnym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tryb mapy intensywności - obraz w świetle białym z nałożonym obrazem fluorescencyjnym z nałożoną kolorystyką w zależności od natężenia fluorescencji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źródło światła wyposażone w zintegrowane gniazdo do komunikacji z oferowanym sterownikiem kamery w celu realizacji wyświetlania parametrów pracy na ekranie monitora operacyjnego i zmiany ustawień oraz trybów pracy bezpośrednio poprzez menu sterownika kamery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przełącznik nożny – 1 szt.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stopień ochrony: CF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Wózek aparaturowy – 1 zestaw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podstawa wyposażona w 4 koła z blokadą na min. 2 kołach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 podać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min. 3 półki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ramię przegubowe do zamocowania monitora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wysięgnik na płyny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uchwyt kamery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Optyki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105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optyka laparoskopowa ze zintegrowanym filtrem umożliwiającym obrazowanie efektu fluorescencji zieleni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indocyjaninowej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(ICG) w zakresie NIR, kąt patrzenia 30[°], średnica 10 [mm] ± 1[mm], długość 300 [mm] ± 10 [mm], 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- 1 szt.</w:t>
            </w:r>
          </w:p>
        </w:tc>
        <w:tc>
          <w:tcPr>
            <w:tcW w:w="999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10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optyka laparoskopowa ze zintegrowanym filtrem umożliwiającym obrazowanie efektu fluorescencji zieleni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indocyjaninowej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(ICG) w zakresie NIR, kąt patrzenia 0[°], średnica 10 [mm] ± 1[mm], długość 300 [mm] ± 10 [mm], 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- 1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optyka laparoskopowa, kąt patrzenia 30[°], średnica 10 [mm] ± 1[mm], długość 300 [mm] ± 10 [mm], 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autoklawowalna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- 2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optyka laparoskopowa, kąt patrzenia 0[°], średnica 10 [mm] ± 1[mm], długość 300 [mm] ± 10 [mm], 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średnicy kompatybilnego światłowodu, przyłącze światłowodowe wyposażone w adaptery do światłowodów różnych producentów,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- 2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105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sztywna optyka laparoskopowa o zmiennym kącie patrzenia w zakresie min. od 0[°] do 90[°]. Zmiana kąta patrzenia realizowana przy pomocy pokrętła umieszczonego pomiędzy okularem a przyłączem światłowodu, 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. Średnica optyki 10 [mm] ± 1[mm], długość 300 [mm] ± 10 [mm], system soczewek wałeczkowych,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możliwość wykorzystania podczas operacji w obrębie klatki piersiowej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– 1 szt.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189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optyka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Egzoskopowa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 filtrem ICG  - kąt patrzenia 0[°], soczewki wałeczkowe, ze zintegrowanym oświetlaczem, średnica 10 [mm] ± 1[mm], długość 100 [mm] ± 10 [mm], wbudowany filtr do obrazowania z trybie bliskiej podczerwieni np. z odczynnikiem ICG, słowna informacja potwierdzającą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autoklawowalność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oraz nadrukowany kod DATA MATRIX z zakodowanym min. numerem katalogowym i numerem seryjnym optyki, nadrukowane na obudowie optyki oznaczenie (w postaci graficznej lub cyfrowej) średnicy kompatybilnego światłowodu, ramię przegubowe typu L, długie do zamocowania optyki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egzoskopowej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mocowane do stołu operacyjnego, element mocujący ramię przegubowe do szyny, pokrętła metalowe, uchwyt zaciskowy, cylinder mocujący, otwierany, do optyk o śr. 10 mm,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autoklawowalny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oznakowanie </w:t>
            </w:r>
            <w:proofErr w:type="spellStart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DataMatrix</w:t>
            </w:r>
            <w:proofErr w:type="spellEnd"/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TAK - 1 pkt NIE - 0 pkt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System Archiwizacji - 1 zestaw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system rejestracji sygnału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3D, 4K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26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zapisu danych: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do pamięci wbudowanej (min. 2[TB])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do pamięci USB poprzez interfejs USB 2.0 oraz 3.0,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do lokalizacji sieciowych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do lokalizacji FTP,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bezpośrednio do systemu szpitalnego za pośrednictwem DICOM i HL7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zaoferowana pamięć wbudowana            2[TB] - 0 pkt, 1 pkt. za każdy zaoferowany dodatkowo 1[TB]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pobierania informacji z systemu szpitalnego za pośrednictwem HL7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84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zapis sekwencji wideo w formacie min.: .mpeg2, .mpeg4 oraz .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mov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 rozdzielczości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oraz 4K z możliwością wyboru niższych rozdzielczości.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Możliwość wyboru jakości zapisu (min. wysoka i standard) dla rozdzielczości do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Zapis zdjęć w formacie: .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bmp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oraz .jpg lub równoważnym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wprowadzania informacji o pacjencie min. takich jak imię i nazwisko, data urodzenia, numer identyfikacyjny pacjenta, nazwisko chirurga, komentarz w odpowiednich przeznaczonych do tego polach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wejścia wideo min.: DP, HDMI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wydruku automatycznie generowanych raportów z zabiegów z danymi obrazowymi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tworzenia raportów w formacie .pdf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84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funkcja równoczesnego zapisu sygnału wideo z dwóch źródeł (zapis dwukanałowy) w trybie: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zsynchronizowanym czasowo (jednoczesne uruchomienie i zatrzymanie zapisu dla obydwu źródeł wideo)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asynchronicznym (niezależne uruchamianie z zatrzymywanie zapisu w obydwu źródłach wideo).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podłączenia i zapisu wideo ze źródła sygnału 3D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funkcja zapisywania procedur w wybranych lokalizacjach w tle umożliwiająca otwarcie nowej procedury, wprowadzenie nowego pacjenta i zapis nowych zdjęć i wideo bez konieczności oczekiwania na zakończenie zapisu poprzednich procedur.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system operacyjny urządzenia uruchamiany z wewnętrznego dysku twardego w technologii SSD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zaimplementowane oprogramowanie zabezpieczające przed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malware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niezależne od łatek bezpieczeństwa systemu operacyjnego, pozwalające na uruchomienie wyłącznie aplikacji zdefiniowanych na liście "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white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list"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zarządzania kontami użytkowników poprzez usługę Active Directory lub równoważną oraz tworzenie różnych profili ustawień dla różnych kont użytkowników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ekran sterujący min 12 [”]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FullHD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dotykowy, zainstalowany pod modułem rejestracji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 przekątną ekranu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klawiatura dedykowana do zaoferowanego systemu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Dodatkowe Akcesoria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światłowód ze wzmocnioną osłoną, nieprzeźroczysty, dł. 2500 [mm] ± 50 [mm], śr. 5 [mm] ± 0,2 [mm]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999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kosz druciany do mycia i sterylizacji optyk o dł. max. 320 [mm] –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kosz druciany do mycia i sterylizacji optyk 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dł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200 [mm] –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kosz druciany do mycia, sterylizacji i przechowywania optyki o zmiennym kącie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toru wizyjnego oferowanego w pakiecie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na wszystkie elementy zestawu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36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5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450"/>
        </w:trPr>
        <w:tc>
          <w:tcPr>
            <w:tcW w:w="192" w:type="pc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197" w:type="pct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PAKIET VI - Sondy radialne USG wraz z osprzętem do biopsji obwodowych guzów płuca - 2 sztuki</w:t>
            </w:r>
          </w:p>
        </w:tc>
        <w:tc>
          <w:tcPr>
            <w:tcW w:w="612" w:type="pc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33168000-5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double" w:sz="6" w:space="0" w:color="000000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Sonda radialna typu I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sonda do zmian obwodowych współpracująca z posiadanym przez Zamawiającego napędem do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minisond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radialnych, model: MAJ-1720 produkcji Olympus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częstotliwość pracy, min. 20 [MHz]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końcówki sondy max. 1,4 [mm] na długości min. 1085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sondy max. 1,8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długość robocza sondy, min. 2150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skanowanie metodami min.: mechaniczną, radialną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zakres skanowania mechanicznego: 360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wprowadzenia sondy przez kanał roboczy bronchoskopu z kanałem roboczym o średnicy min. 1,7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Sondy radialna typu II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sonda do zmian obwodowych współpracująca z posiadanym przez Zamawiającego napędem do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minisond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radialnych, model: MAJ-1720 produkcji Olympus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częstotliwość pracy, min. 20 [MHz]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końcówki sondy max. 1,7 [mm] na długości min. 850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średnica sondy max. 2,0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długość robocza sondy, min. 2050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skanowanie metodami min.: mechaniczną, radialną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zakres skanowania mechanicznego: 360 [°]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wprowadzenia sondy przez kanał roboczy bronchoskopu z kanałem roboczym o średnicy min. 2,2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oferowanych w pakiecie sond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5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 xml:space="preserve">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oferowane w pakiecie sondy posiadające min. deklarację zgodności CE - deklaracja zgodności w języku polskim lub angielskim ma być dostarczona przy dostawie sprzętu do Zamawiającego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300"/>
        </w:trPr>
        <w:tc>
          <w:tcPr>
            <w:tcW w:w="4388" w:type="pct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>PAKIET VII - Lampa operacyjna - 1 sztuka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CPV: 33168000-5 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Parametry funkcjonalne oferowanej lampy operacyjnej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12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oferowana lampa operacyjna czteroramienna, diodowa, składająca się z: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pierwszego ramienia dostosowanego do zawieszenia monitora medycznego 27” Full HD,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drugiego ramienia dostosowanego do zawieszenia pierwszej czaszy lampy,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trzeciego ramienia dostosowanego do zawieszenia drugiej czaszy lampy,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czwartego ramienia lampy dostosowanego do zawieszenia monitora medycznego 27” Full HD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18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każda czasza zawieszona na obrotowym wysięgniku dwuramiennym. Każdy wysięgnik wyposażony w jedno ramię uchylne, umożliwiające regulację wysokości. Każda czasza wyposażona w podwójny przegub umożliwiający manewrowanie w trzech prostopadłych osiach (tzw. zawieszenie kardanowe). Łączny zasięg pierwszej czaszy (wysięgnik + ramię sprężyste): min. 1800 [mm]. Łączny zasięg drugiej czaszy (wysięgnik + ramię sprężyste): min. 2000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0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obie czasze z elementami oświetleniowymi  emitujące światło białe, w których diody są białe o różnych temperaturach barwowych (w tonach  - białe „zimne” i  białe „ciepłe”).  Nie dopuszcza się rozwiązania, w którym czasze wyposażone są w kolorowe diody LED (inne niż białe)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natężenie światła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z odległości 1 m: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dla czaszy głównej: min. 155 000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lux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dla czaszy satelitarnej: min. 155 000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lux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96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czasze wyposażone w system czujników identyfikujących przeszkody w polu operacyjnym, które automatyczne aktywują i dezaktywują poszczególne diody LED by osiągnąć maksymalną bezcieniowość. Obecność i ww. funkcjonalność systemu potwierdzona w oryginalnych materiałach producenta - dostarczonych przy dostawie oferowanej lampy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natężenie światła po przysłonięciu jedną maską [%]   - min. 98%.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natężenie światła po przysłonięciu dwiema maskami [%] - min. 45%.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natężenie światła na dnie standardowej tuby po przysłonięciu jedną maską [%]   - min. 98%.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natężenie światła na dnie standardowej tuby po przysłonięciu dwoma maskami [%] - min. 45%.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bardzo wysoki współczynnik odwzorowania barwy światła słonecznego, tj. Ra: ≥ 99. Parametr potwierdzony w oryginalnych materiałach producenta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7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bardzo wysoki współczynnik odwzorowania barwy czerwonej, tj. R9: ≥ 99. Parametr potwierdzony w oryginalnych materiałach producenta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5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bardzo wysoki współczynnik odwzorowania koloru skóry, tj. R13: ≥ 99. Parametr potwierdzony w oryginalnych materiałach producenta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głębokość oświetlenia (L1+L2) dla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Ec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: 20%: min. 170 [cm]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ustawianie kształtu pola operacyjnego w postaci koła i elipsy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regulacja temperatury barwowej światła min. w 3 krokach w minimalnym zakresie  3500 – 5000 [K]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płynnej regulacji temperatury barwowej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elektroniczna regulacja średnicy pola bezcieniowego każdej z czasz w zakresie co najmniej  ≥ 180 [mm] do ≤ 320 [mm]. Nie dopuszcza się regulacji mechanicznej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elektroniczna regulacja średnicy pola bezcieniowego za pomocą centralnego uchwytu sterującego i przyciskami panelu sterowania na każdej z czasz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płynnej regulacji średnicy pola bezcieniowego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elektroniczna regulacja natężenia światła za pomocą centralnego uchwytu sterującego i przyciskami panelu sterowania na każdej z czasz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płynnej regulacji natężenia światła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podstawowy panel sterowania umieszczony na czaszy jednakowy dla obu czasz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podstawowy panel sterowania posiadający funkcje: min. włącz/wyłącz, regulacja natężenia światła, regulacja średnicy pola światła, regulacja temperatury barwowej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regulacja natężenia oświetlenia z panelu sterowniczego umieszczonego na każdej z  czasz w minimalnym zakresie  30 – 100%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uruchamianie oświetlenia endoskopowego (barwa biała) o maksymalnej wartości 5% z panelu sterowniczego umieszczonego na każdej czaszy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pozycjonowanie każdej z czasz wielorazowym sterylizowanym uchwytem (umieszczonym w punkcie centralnym lampy) i dodatkowo min. dwoma „brudnymi” uchwytami umieszczonymi wokół czaszy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zasilanie: 230V (+/-) 10%, 50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Hz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każda z czasz zasilana napięciem z zasilacza stabilizowanego, w przedziale 28 – 36 VDC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stopień ochrony: czasze min. IP 55, system ramion min. IP 30. Parametry potwierdzone w oryginalnych materiałach producenta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żywotność źródeł światła ≥ 60 000 [godz.]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powierzchnia czasz gładka, bez widocznych śrub lub nitów mocujących, wykonana z materiałów odpornych na działanie środków dezynfekujących. Nie dopuszcza się czasz z widocznymi śrubami oraz szczelinami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szyba osłaniająca zespoły diod LED wykonana ze szkła hartowanego. Obudowa czaszy ze zintegrowaną uszczelką zapobiegającą dostawaniu się do środka wilgoci oraz płynów podczas używania środków czyszczących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płaska obudowa czaszy o grubości max. 80 [mm]. Wymiary czaszy (długość jej najdłuższego boku) max. 750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obudowa czasz przystosowana do współpracy z obiegiem laminarnym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dodatkowe wielorazowe uchwyty sterylizowane,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 dostawie 5 sztuk na każdą z czasz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mocowanie wielorazowego uchwytu sterylizowanego na zatrzask „klikowy” realizowany za pomocą jednej ręki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3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lampy wyposażone w dotykowy sterownik z możliwością instalacji na ścianie, zapewniający  sterowanie następującymi parametrami lamp: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włączanie / wyłączanie; zmianę temperatury barwowej; regulacja średnicy pola; regulacja natężenia światła; funkcja białego światła endoskopowego; ustawienie kształtu pola w postaci koła lub elipsy; wywołanie wcześniej zapisanych ustawień parametrów świetlnych; włączenie/wyłączenie redukcji cieni; możliwość zsynchronizowanego sterowania parametrami świetlnymi obu czasz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Parametry funkcjonalne toru wizyjnego lampy operacyjnej - monitory medyczne 27" FHD - 2 sztuki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każdy z oferowanych monitorów medycznych posiadający dopuszczenia i certyfikaty dla klasy I urządzeń medycznych. Parametry każdego monitora jak poniżej: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54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wymiary monitora: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szerokość max. 680 mm </w:t>
            </w:r>
            <w:r w:rsidRPr="00DB43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±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 mm; wysokość: max. 430 mm ±20 mm; głębokość: max. 80 mm ±20 mm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całkowity pobór mocy, max. 110 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waga całkowita, max. 9 kg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typ panelu - TFT LCD (LED)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wejścia sygnałowe, min: 2 x DVI (single link), 1 x VGA, 1 x Component, 1 x SDI (3G)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wyjścia sygnałowe, min.: 1 x DVI (single link), 1 x SDI (3G)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rozdzielczość min. 1920 x 1080 pikseli, proporcje obrazu 16:9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jasność: min. 700 cd/m2, kontrast min. 1000:1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kąt widzenia min. 180° / 180°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klasa IP, min. IP33. Obudowa monitora na wszystkich czterech rogach zabezpieczona odbojnikami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zawieszenie umożliwiające ustawianie pozycji monitora za pomocą uchwytu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sterylizowalnego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zawieszenie monitora doposażone w dodatkowe uchwyty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sterylizowalne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-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 sztuk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 dla lampy i wszystkich jej elementów oferowanych w pakiecie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CCCCFF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na wszystkie elementy zestawu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300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posiadający deklarację zgodności - deklaracja zgodności 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9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oferowanych: lampy i monitorów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575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Wykonawca przed złożeniem oferty (w celu jej właściwego skalkulowania oraz określenia zakresu wszystkich prac do wykonania) uprawniony jest do przeprowadzenia wizji lokalnej na sali operacyjnej nr 3 (zlokalizowanej na Bloku Operacyjnym Oddziału Klinicznego Chirurgii Klatki Piersiowej i Chirurgii Onkologicznej, pawilon M-I, parter), na której ma być zainstalowana lampa, która jest przedmiotem oferty. W celu dokonania wizji lokalnej Wykonawca zobowiązany jest odpowiednio wcześniej ustalić termin oraz godzinę. Kontakt codziennie w godzinach 8 - 14: Paweł Szkodny, tel. (12) 614 20 18 (Kierownik Działu Inżynierii Klinicznej) i/lub Aleksandra Sośnicka, tel. +48 514 602 905 (Pielęgniarka Oddziałowa)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35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oferowana lampa - dostosowana konstrukcyjnie do miejsca montażu - sali operacyjnej nr 3: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wysokość do sufitu podwieszonego od posadzki ok. 330 cm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wysokość do stropu od posadzki: ok. 410 cm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99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ramach oferty Wykonawca na własny koszt i we własnym zakresie dokona: demontażu aktualnie użytkowanej na sali operacyjnej nr 3 lampy operacyjnej, tj. X8, nr ser. MLX8C1D020307C2864, produkcji KLS MARTIN i jej przetransportowania do magazynu aparatury medycznej, znajdującego się w budynku A-V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poz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-1 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20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999" w:type="pct"/>
            <w:tcBorders>
              <w:top w:val="single" w:sz="4" w:space="0" w:color="4F81BD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single" w:sz="4" w:space="0" w:color="4F81BD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DB43AC" w:rsidRDefault="00DB43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572"/>
        <w:gridCol w:w="1841"/>
        <w:gridCol w:w="1319"/>
        <w:gridCol w:w="1127"/>
      </w:tblGrid>
      <w:tr w:rsidR="00DB43AC" w:rsidRPr="00DB43AC" w:rsidTr="00DB43AC">
        <w:trPr>
          <w:trHeight w:val="360"/>
        </w:trPr>
        <w:tc>
          <w:tcPr>
            <w:tcW w:w="2673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PAKIET VIII - </w:t>
            </w:r>
            <w:proofErr w:type="spellStart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Sternotom</w:t>
            </w:r>
            <w:proofErr w:type="spellEnd"/>
            <w:r w:rsidRPr="00DB43A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- 1 zestaw</w:t>
            </w:r>
          </w:p>
        </w:tc>
        <w:tc>
          <w:tcPr>
            <w:tcW w:w="9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CPV: 33169000-3</w:t>
            </w:r>
          </w:p>
        </w:tc>
      </w:tr>
      <w:tr w:rsidR="00DB43AC" w:rsidRPr="00DB43AC" w:rsidTr="00DB43AC">
        <w:trPr>
          <w:trHeight w:val="270"/>
        </w:trPr>
        <w:tc>
          <w:tcPr>
            <w:tcW w:w="2673" w:type="pct"/>
            <w:gridSpan w:val="2"/>
            <w:tcBorders>
              <w:top w:val="double" w:sz="6" w:space="0" w:color="000000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1. Napęd akumulatorowy do nasadek wiertarskich i frezerskich - 1 zestaw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nie demonstracyjny, nie powystawowy,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napęd do nasadek wiertarskich i frezerskich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tytanowa, pistoletowa obudowa dostosowana do mycia w środkach alkalicznych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silnik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bezszczotkowy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komutowany elektronicznie o mocy, min. 250 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obroty maksymalne silnika, min. 25 000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./min.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obroty regulowane w zakresie, min. od 0 do 1000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./min. na głowicy nasadek wiertarskich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obroty regulowane w zakresie, min. od 0 do 250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./min. na głowicy nasadek frezarskich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zmiana kierunku obrotów przy pomocy przycisku na rękojeści napędu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kaniulacja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Ø 4 mm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dystalna osłona drutu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kirschnera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 zestawie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akumulatory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niesterylizowalne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adapter do oliwienia napędu, w zestawie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zasilania z sieci elektrycznej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blokada przed niezamierzonym uruchomieniem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obudowie etykieta serwisowa z datą następnego przeglądu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zestawie zestaw do sterylnego wkładania akumulatora (lejek i pokrywa komory akumulatora)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nasadka wiertarska trójszczękowa typu Jacobs, nasadka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bezkluczykowa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wraz z kluczykiem, zakres, min. 0,3-7,4 mm,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kaniulacja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Ø 4 mm, maksymalna prędkość obrotowa, min. 1000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./min.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akumulator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NiMH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ze zintegrowaną elektroniką sterującą, o napięciu 9,6V i pojemności 1,95Ah, możliwość serwisowej wymiany samych ogniw akumulatora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3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matryce do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siatkownicy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 powiększania powierzchni przeszczepu, matryca do nacinania przeszczepu skóry 1:3, pakowane sterylnie, jednorazowe - 10 sztuk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9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wiertła spiralne, średnica, min. od 3,0 do 3,5 mm, długość całkowita, min. od 80 mm do 310 mm, długość robocza, min. od 50 mm do 150 mm - 5 sztuk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55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od daty podpisania protokołu odbioru, </w:t>
            </w: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 xml:space="preserve">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55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produkt posiadający deklarację zgodności - deklaracja zgodnośc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każdego egzemplarza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wszelkie czynności i koszty związane z dostarczeniem, wniesieniem, montażem, uruchomieniem oferowanego w pakiecie przedmiotu zamówienia leżą po stronie Wykonawcy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55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2. Piła posuwisto-zwrotna - 1 zestaw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nie demonstracyjny, nie powystawowy, rok produkcji - 2023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tytanowa, pistoletowa obudowa dostosowana do mycia w środkach alkalicznych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silnik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bezszczotkowy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komutowany elektronicznie o mocy, min. 250 [W]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suwy regulowane przy pomocy przycisku na rękojeści, min. od 0 do 15000 [suw./min.]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obroty regulowane na głowicy nasadek frezarskich, min. od 0 do 250 [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obr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./min]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[1,2]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zmiana kierunku obrotów przy pomocy przycisku na rękojeści napędu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brzeszczoty mocowane systemem zapadkowym z blokadą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akumulatory niesterylizowane umieszczane systemem lejkowym w sterylnej komorze akumulatora w rękojeści, bez oddzielnego pojemnika na akumulator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urządzenie wyposażone w blokadę przed niezamierzonym uruchomieniem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zasilania z sieci elektrycznej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skok ostrza: 3,2 [mm]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 obudowie etykieta serwisowa z datą następnego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7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zestawie zestaw do sterylnego wkładania akumulatora (lejek i pokrywa komory akumulatora)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stopka do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sternotomu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osłona opłucnej - 1 sztuka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zestawie brzeszczoty do piły posuwisto-zwrotnej, brzeszczoty o długości roboczej 34mm, grubość ostrza 0,7 mm, szerokość cięcia 1,1 mm - 3 sztuki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kosz stalowy, perforowany, rozmiar 400-406 mm x 250-255 mm x 105-110 mm, uchwyt pokrywy komory akumulatora, uchwyt lejka do sterylnego zakładania akumulatora, uchwyt rękojeści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sternotomu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uchwyt na brzeszczoty, uchwyt na stopkę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sternotomu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-osłony opony - 1 sztuka    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wanna kontenera 3/4, wymiary zewnętrzne 470-475 mm x 270-275 mm x 130-135 mm, wykonana z aluminium, uchwyty kontenera blokujące się pod kątem 90 stopni (redukuje możliwości urazów dłoni), uchwyty na tabliczki identyfikacyjne po obu stronach wanny kontenera - 1 sztuka  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zestawie pokrywa kontenera, srebrna, podwójny system zabezpieczeń: (plomby) papierowe z identyfikatorami oznaczonymi kolorem lub plomby plastikowe, filtr </w:t>
            </w:r>
            <w:proofErr w:type="spellStart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mikroporowy</w:t>
            </w:r>
            <w:proofErr w:type="spellEnd"/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teflonowy na 5000 cykli sterylizacji - 1 sztuka 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55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24 [mies.]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168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okresie udzielonej gwarancji bezpłatne przeglądy okresowe, bez konieczności wzywania przez Zamawiającego (obejmujące bezpłatny dojazd, robociznę i części),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podać częstotliwość przeglądów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przystąpienia do naprawy, max. 72 [h] od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7 dni od daty zgłoszenia konieczności naprawy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255"/>
        </w:trPr>
        <w:tc>
          <w:tcPr>
            <w:tcW w:w="2673" w:type="pct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produkt posiadający deklarację zgodności - deklaracja zgodnośc</w:t>
            </w: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 </w:t>
            </w:r>
            <w:r w:rsidRPr="00DB43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języku polskim lub angielskim dostarczona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każdego egzemplarza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6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  <w:tr w:rsidR="00DB43AC" w:rsidRPr="00DB43AC" w:rsidTr="00DB43AC">
        <w:trPr>
          <w:trHeight w:val="43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wszelkie czynności i koszty związane z dostarczeniem, wniesieniem, montażem, uruchomieniem oferowanego w pakiecie przedmiotu zamówienia leżą po stronie Wykonawcy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43AC" w:rsidRPr="00DB43AC" w:rsidRDefault="00DB43AC" w:rsidP="00DB43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B43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</w:tr>
    </w:tbl>
    <w:p w:rsidR="00CD7DE4" w:rsidRDefault="00DB43AC"/>
    <w:sectPr w:rsidR="00CD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1"/>
    <w:rsid w:val="00217B9B"/>
    <w:rsid w:val="002B330B"/>
    <w:rsid w:val="00613A51"/>
    <w:rsid w:val="00D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3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43AC"/>
    <w:rPr>
      <w:color w:val="800080"/>
      <w:u w:val="single"/>
    </w:rPr>
  </w:style>
  <w:style w:type="paragraph" w:customStyle="1" w:styleId="font5">
    <w:name w:val="font5"/>
    <w:basedOn w:val="Normalny"/>
    <w:rsid w:val="00DB43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DB43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6">
    <w:name w:val="xl126"/>
    <w:basedOn w:val="Normalny"/>
    <w:rsid w:val="00DB43A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B43A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B43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B43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B43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B43A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DB43AC"/>
    <w:pPr>
      <w:pBdr>
        <w:top w:val="double" w:sz="6" w:space="0" w:color="auto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6">
    <w:name w:val="xl166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9">
    <w:name w:val="xl16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1">
    <w:name w:val="xl17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3">
    <w:name w:val="xl18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4">
    <w:name w:val="xl18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8">
    <w:name w:val="xl228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7">
    <w:name w:val="xl24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0">
    <w:name w:val="xl260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4">
    <w:name w:val="xl26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6">
    <w:name w:val="xl26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7">
    <w:name w:val="xl267"/>
    <w:basedOn w:val="Normalny"/>
    <w:rsid w:val="00DB43AC"/>
    <w:pPr>
      <w:pBdr>
        <w:top w:val="single" w:sz="4" w:space="0" w:color="4F81BD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8">
    <w:name w:val="xl26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B43A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B43AC"/>
    <w:pPr>
      <w:pBdr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1">
    <w:name w:val="xl271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2">
    <w:name w:val="xl272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DB43AC"/>
    <w:pPr>
      <w:pBdr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4">
    <w:name w:val="xl274"/>
    <w:basedOn w:val="Normalny"/>
    <w:rsid w:val="00DB43AC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DB43AC"/>
    <w:pPr>
      <w:pBdr>
        <w:top w:val="single" w:sz="4" w:space="0" w:color="4F81BD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6">
    <w:name w:val="xl276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DB43AC"/>
    <w:pPr>
      <w:pBdr>
        <w:top w:val="double" w:sz="6" w:space="0" w:color="000000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DB43AC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0">
    <w:name w:val="xl280"/>
    <w:basedOn w:val="Normalny"/>
    <w:rsid w:val="00DB43AC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1">
    <w:name w:val="xl2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82">
    <w:name w:val="xl28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B43AC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B43A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89">
    <w:name w:val="xl289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1">
    <w:name w:val="xl291"/>
    <w:basedOn w:val="Normalny"/>
    <w:rsid w:val="00DB43A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5">
    <w:name w:val="xl29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7">
    <w:name w:val="xl297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1">
    <w:name w:val="xl301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2">
    <w:name w:val="xl30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3">
    <w:name w:val="xl30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4">
    <w:name w:val="xl304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5">
    <w:name w:val="xl305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9">
    <w:name w:val="xl309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0">
    <w:name w:val="xl31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1">
    <w:name w:val="xl311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2">
    <w:name w:val="xl312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3">
    <w:name w:val="xl31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4">
    <w:name w:val="xl314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3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43AC"/>
    <w:rPr>
      <w:color w:val="800080"/>
      <w:u w:val="single"/>
    </w:rPr>
  </w:style>
  <w:style w:type="paragraph" w:customStyle="1" w:styleId="font5">
    <w:name w:val="font5"/>
    <w:basedOn w:val="Normalny"/>
    <w:rsid w:val="00DB43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DB43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26">
    <w:name w:val="xl126"/>
    <w:basedOn w:val="Normalny"/>
    <w:rsid w:val="00DB43A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B43A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B43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DB43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DB43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DB43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B43A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DB43AC"/>
    <w:pPr>
      <w:pBdr>
        <w:top w:val="double" w:sz="6" w:space="0" w:color="auto"/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6">
    <w:name w:val="xl166"/>
    <w:basedOn w:val="Normalny"/>
    <w:rsid w:val="00DB43AC"/>
    <w:pPr>
      <w:pBdr>
        <w:top w:val="double" w:sz="6" w:space="0" w:color="auto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7">
    <w:name w:val="xl16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69">
    <w:name w:val="xl16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0">
    <w:name w:val="xl170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1">
    <w:name w:val="xl17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2">
    <w:name w:val="xl17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3">
    <w:name w:val="xl17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3">
    <w:name w:val="xl18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4">
    <w:name w:val="xl18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4">
    <w:name w:val="xl19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5">
    <w:name w:val="xl195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B43AC"/>
    <w:pPr>
      <w:pBdr>
        <w:top w:val="double" w:sz="6" w:space="0" w:color="000000"/>
        <w:left w:val="single" w:sz="4" w:space="0" w:color="000000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B43AC"/>
    <w:pPr>
      <w:pBdr>
        <w:top w:val="single" w:sz="4" w:space="0" w:color="4F81BD"/>
        <w:left w:val="single" w:sz="4" w:space="0" w:color="auto"/>
        <w:bottom w:val="double" w:sz="6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DB43AC"/>
    <w:pPr>
      <w:pBdr>
        <w:top w:val="single" w:sz="4" w:space="0" w:color="4F81BD"/>
        <w:left w:val="single" w:sz="8" w:space="0" w:color="auto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DB43AC"/>
    <w:pPr>
      <w:pBdr>
        <w:top w:val="single" w:sz="4" w:space="0" w:color="4F81BD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8">
    <w:name w:val="xl228"/>
    <w:basedOn w:val="Normalny"/>
    <w:rsid w:val="00DB43AC"/>
    <w:pPr>
      <w:pBdr>
        <w:top w:val="double" w:sz="6" w:space="0" w:color="000000"/>
        <w:bottom w:val="double" w:sz="6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29">
    <w:name w:val="xl22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1">
    <w:name w:val="xl23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CCCCFF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4">
    <w:name w:val="xl234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DB43AC"/>
    <w:pPr>
      <w:pBdr>
        <w:top w:val="single" w:sz="4" w:space="0" w:color="4F81BD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7">
    <w:name w:val="xl237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8">
    <w:name w:val="xl238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39">
    <w:name w:val="xl239"/>
    <w:basedOn w:val="Normalny"/>
    <w:rsid w:val="00DB43AC"/>
    <w:pPr>
      <w:pBdr>
        <w:top w:val="single" w:sz="4" w:space="0" w:color="4F81BD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0">
    <w:name w:val="xl240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4">
    <w:name w:val="xl244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7">
    <w:name w:val="xl247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48">
    <w:name w:val="xl248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0">
    <w:name w:val="xl250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1">
    <w:name w:val="xl251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4">
    <w:name w:val="xl254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5">
    <w:name w:val="xl255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59">
    <w:name w:val="xl259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0">
    <w:name w:val="xl260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DB43AC"/>
    <w:pPr>
      <w:pBdr>
        <w:top w:val="double" w:sz="6" w:space="0" w:color="000000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DB43AC"/>
    <w:pPr>
      <w:pBdr>
        <w:top w:val="single" w:sz="4" w:space="0" w:color="4F81BD"/>
        <w:left w:val="single" w:sz="4" w:space="0" w:color="000000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3">
    <w:name w:val="xl26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4">
    <w:name w:val="xl264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B43AC"/>
    <w:pPr>
      <w:pBdr>
        <w:top w:val="single" w:sz="4" w:space="0" w:color="4F81BD"/>
        <w:bottom w:val="single" w:sz="4" w:space="0" w:color="4F81BD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6">
    <w:name w:val="xl266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7">
    <w:name w:val="xl267"/>
    <w:basedOn w:val="Normalny"/>
    <w:rsid w:val="00DB43AC"/>
    <w:pPr>
      <w:pBdr>
        <w:top w:val="single" w:sz="4" w:space="0" w:color="4F81BD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8">
    <w:name w:val="xl268"/>
    <w:basedOn w:val="Normalny"/>
    <w:rsid w:val="00DB43AC"/>
    <w:pPr>
      <w:pBdr>
        <w:top w:val="single" w:sz="4" w:space="0" w:color="4F81BD"/>
        <w:left w:val="single" w:sz="4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DB43A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DB43AC"/>
    <w:pPr>
      <w:pBdr>
        <w:left w:val="single" w:sz="8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1">
    <w:name w:val="xl271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2">
    <w:name w:val="xl272"/>
    <w:basedOn w:val="Normalny"/>
    <w:rsid w:val="00DB43AC"/>
    <w:pPr>
      <w:pBdr>
        <w:left w:val="single" w:sz="4" w:space="0" w:color="auto"/>
        <w:bottom w:val="single" w:sz="4" w:space="0" w:color="4F81BD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DB43AC"/>
    <w:pPr>
      <w:pBdr>
        <w:left w:val="single" w:sz="4" w:space="0" w:color="auto"/>
        <w:bottom w:val="single" w:sz="4" w:space="0" w:color="4F81BD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4">
    <w:name w:val="xl274"/>
    <w:basedOn w:val="Normalny"/>
    <w:rsid w:val="00DB43AC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DB43AC"/>
    <w:pPr>
      <w:pBdr>
        <w:top w:val="single" w:sz="4" w:space="0" w:color="4F81BD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6">
    <w:name w:val="xl276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DB43AC"/>
    <w:pPr>
      <w:pBdr>
        <w:top w:val="double" w:sz="6" w:space="0" w:color="000000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DB43AC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79">
    <w:name w:val="xl279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0">
    <w:name w:val="xl280"/>
    <w:basedOn w:val="Normalny"/>
    <w:rsid w:val="00DB43AC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xl281">
    <w:name w:val="xl281"/>
    <w:basedOn w:val="Normalny"/>
    <w:rsid w:val="00DB43AC"/>
    <w:pPr>
      <w:pBdr>
        <w:top w:val="single" w:sz="4" w:space="0" w:color="4F81BD"/>
        <w:left w:val="single" w:sz="4" w:space="0" w:color="auto"/>
        <w:bottom w:val="single" w:sz="4" w:space="0" w:color="4F81B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82">
    <w:name w:val="xl28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B43AC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B43A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B43AC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B43AC"/>
    <w:pPr>
      <w:pBdr>
        <w:top w:val="double" w:sz="6" w:space="0" w:color="000000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89">
    <w:name w:val="xl289"/>
    <w:basedOn w:val="Normalny"/>
    <w:rsid w:val="00DB43AC"/>
    <w:pPr>
      <w:pBdr>
        <w:top w:val="double" w:sz="6" w:space="0" w:color="000000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B43AC"/>
    <w:pPr>
      <w:pBdr>
        <w:top w:val="double" w:sz="6" w:space="0" w:color="000000"/>
        <w:bottom w:val="double" w:sz="6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1">
    <w:name w:val="xl291"/>
    <w:basedOn w:val="Normalny"/>
    <w:rsid w:val="00DB43A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5">
    <w:name w:val="xl295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97">
    <w:name w:val="xl297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DB43A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1">
    <w:name w:val="xl301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2">
    <w:name w:val="xl302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3">
    <w:name w:val="xl303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CCCCFF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4">
    <w:name w:val="xl304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05">
    <w:name w:val="xl305"/>
    <w:basedOn w:val="Normalny"/>
    <w:rsid w:val="00DB43A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B43AC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DB43AC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9">
    <w:name w:val="xl309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0">
    <w:name w:val="xl310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1">
    <w:name w:val="xl311"/>
    <w:basedOn w:val="Normalny"/>
    <w:rsid w:val="00DB43AC"/>
    <w:pPr>
      <w:pBdr>
        <w:top w:val="double" w:sz="6" w:space="0" w:color="000000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2">
    <w:name w:val="xl312"/>
    <w:basedOn w:val="Normalny"/>
    <w:rsid w:val="00DB43AC"/>
    <w:pPr>
      <w:pBdr>
        <w:top w:val="double" w:sz="6" w:space="0" w:color="000000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3">
    <w:name w:val="xl313"/>
    <w:basedOn w:val="Normalny"/>
    <w:rsid w:val="00DB43AC"/>
    <w:pPr>
      <w:pBdr>
        <w:top w:val="single" w:sz="4" w:space="0" w:color="4F81BD"/>
        <w:left w:val="single" w:sz="8" w:space="0" w:color="auto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314">
    <w:name w:val="xl314"/>
    <w:basedOn w:val="Normalny"/>
    <w:rsid w:val="00DB43AC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8172</Words>
  <Characters>49032</Characters>
  <Application>Microsoft Office Word</Application>
  <DocSecurity>0</DocSecurity>
  <Lines>408</Lines>
  <Paragraphs>114</Paragraphs>
  <ScaleCrop>false</ScaleCrop>
  <Company/>
  <LinksUpToDate>false</LinksUpToDate>
  <CharactersWithSpaces>57090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Ciepiela</dc:creator>
  <cp:keywords/>
  <dc:description/>
  <cp:lastModifiedBy>Jolanta Ciepiela</cp:lastModifiedBy>
  <cp:revision>2</cp:revision>
  <dcterms:created xsi:type="dcterms:W3CDTF">2023-07-07T07:37:00Z</dcterms:created>
  <dcterms:modified xsi:type="dcterms:W3CDTF">2023-07-07T07:41:00Z</dcterms:modified>
</cp:coreProperties>
</file>