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8957EC">
        <w:rPr>
          <w:rFonts w:ascii="Calibri" w:hAnsi="Calibri"/>
          <w:b/>
        </w:rPr>
        <w:t>23.</w:t>
      </w:r>
      <w:r w:rsidR="00094CB5">
        <w:rPr>
          <w:rFonts w:ascii="Calibri" w:hAnsi="Calibri"/>
          <w:b/>
        </w:rPr>
        <w:t>11</w:t>
      </w:r>
      <w:r w:rsidR="00E31081">
        <w:rPr>
          <w:rFonts w:ascii="Calibri" w:hAnsi="Calibri"/>
          <w:b/>
        </w:rPr>
        <w:t>.2023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E31081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B11A32">
        <w:rPr>
          <w:rFonts w:ascii="Calibri" w:hAnsi="Calibri"/>
          <w:b/>
        </w:rPr>
        <w:t>0</w:t>
      </w:r>
      <w:r w:rsidR="00094CB5">
        <w:rPr>
          <w:rFonts w:ascii="Calibri" w:hAnsi="Calibri"/>
          <w:b/>
        </w:rPr>
        <w:t>91</w:t>
      </w:r>
    </w:p>
    <w:p w:rsidR="004C3B23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094CB5" w:rsidRPr="002057D7" w:rsidRDefault="00094CB5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094CB5">
      <w:pPr>
        <w:tabs>
          <w:tab w:val="left" w:pos="8505"/>
        </w:tabs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094CB5">
        <w:rPr>
          <w:rFonts w:ascii="Calibri" w:hAnsi="Calibri" w:cs="Calibri"/>
          <w:b/>
          <w:sz w:val="22"/>
          <w:szCs w:val="22"/>
        </w:rPr>
        <w:t xml:space="preserve"> w zakresie </w:t>
      </w:r>
      <w:r w:rsidR="00094CB5" w:rsidRPr="006B2F08">
        <w:rPr>
          <w:rFonts w:ascii="Calibri" w:hAnsi="Calibri" w:cs="Calibri"/>
          <w:b/>
          <w:sz w:val="22"/>
          <w:szCs w:val="22"/>
          <w:u w:val="single"/>
        </w:rPr>
        <w:t xml:space="preserve">Pakietu </w:t>
      </w:r>
      <w:r w:rsidR="008957EC">
        <w:rPr>
          <w:rFonts w:ascii="Calibri" w:hAnsi="Calibri" w:cs="Calibri"/>
          <w:b/>
          <w:sz w:val="22"/>
          <w:szCs w:val="22"/>
          <w:u w:val="single"/>
        </w:rPr>
        <w:t>1,4</w:t>
      </w:r>
    </w:p>
    <w:p w:rsidR="004C3B23" w:rsidRPr="0040777E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40777E">
        <w:rPr>
          <w:rFonts w:ascii="Calibri" w:hAnsi="Calibri" w:cs="Calibri"/>
          <w:sz w:val="18"/>
          <w:szCs w:val="18"/>
        </w:rPr>
        <w:t>11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DD7437" w:rsidRPr="0040777E">
        <w:rPr>
          <w:rFonts w:ascii="Calibri" w:hAnsi="Calibri" w:cs="Calibri"/>
          <w:sz w:val="18"/>
          <w:szCs w:val="18"/>
        </w:rPr>
        <w:t>września 2019</w:t>
      </w:r>
      <w:r w:rsidRPr="0040777E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094CB5">
        <w:rPr>
          <w:rFonts w:ascii="Calibri" w:hAnsi="Calibri" w:cs="Calibri"/>
          <w:color w:val="000000"/>
          <w:sz w:val="18"/>
          <w:szCs w:val="18"/>
        </w:rPr>
        <w:t>3</w:t>
      </w:r>
      <w:r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094CB5">
        <w:rPr>
          <w:rFonts w:ascii="Calibri" w:hAnsi="Calibri" w:cs="Calibri"/>
          <w:color w:val="000000"/>
          <w:sz w:val="18"/>
          <w:szCs w:val="18"/>
        </w:rPr>
        <w:t>605</w:t>
      </w:r>
      <w:r w:rsidRPr="0040777E">
        <w:rPr>
          <w:rFonts w:ascii="Calibri" w:hAnsi="Calibri" w:cs="Calibri"/>
          <w:sz w:val="18"/>
          <w:szCs w:val="18"/>
        </w:rPr>
        <w:t>)</w:t>
      </w:r>
    </w:p>
    <w:p w:rsidR="004C3B23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094CB5" w:rsidRPr="0040777E" w:rsidRDefault="00094CB5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BF5E26" w:rsidRDefault="004C3B23" w:rsidP="002528A6">
      <w:pPr>
        <w:suppressAutoHyphens/>
        <w:spacing w:after="200" w:line="360" w:lineRule="auto"/>
        <w:ind w:right="-425"/>
        <w:jc w:val="both"/>
        <w:rPr>
          <w:rFonts w:asciiTheme="minorHAnsi" w:hAnsiTheme="minorHAnsi" w:cstheme="minorHAnsi"/>
          <w:sz w:val="18"/>
          <w:szCs w:val="18"/>
        </w:rPr>
      </w:pPr>
      <w:r w:rsidRPr="00BF5E26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BF5E26">
        <w:rPr>
          <w:rFonts w:asciiTheme="minorHAnsi" w:hAnsiTheme="minorHAnsi" w:cstheme="minorHAnsi"/>
          <w:b/>
          <w:sz w:val="18"/>
          <w:szCs w:val="18"/>
        </w:rPr>
        <w:t>GUM202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3</w:t>
      </w:r>
      <w:r w:rsidRPr="00BF5E26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0</w:t>
      </w:r>
      <w:r w:rsidR="00094CB5">
        <w:rPr>
          <w:rFonts w:asciiTheme="minorHAnsi" w:hAnsiTheme="minorHAnsi" w:cstheme="minorHAnsi"/>
          <w:b/>
          <w:sz w:val="18"/>
          <w:szCs w:val="18"/>
        </w:rPr>
        <w:t>91</w:t>
      </w:r>
      <w:r w:rsidRPr="00BF5E26">
        <w:rPr>
          <w:rFonts w:asciiTheme="minorHAnsi" w:hAnsiTheme="minorHAnsi" w:cstheme="minorHAnsi"/>
          <w:sz w:val="18"/>
          <w:szCs w:val="18"/>
        </w:rPr>
        <w:t xml:space="preserve">  </w:t>
      </w:r>
      <w:r w:rsidR="00094CB5" w:rsidRPr="00201B55">
        <w:rPr>
          <w:rFonts w:cs="Calibri"/>
          <w:sz w:val="18"/>
          <w:szCs w:val="18"/>
        </w:rPr>
        <w:t xml:space="preserve">– </w:t>
      </w:r>
      <w:r w:rsidR="00094CB5" w:rsidRPr="00631B3E">
        <w:rPr>
          <w:rFonts w:cstheme="minorHAnsi"/>
          <w:b/>
        </w:rPr>
        <w:t xml:space="preserve"> </w:t>
      </w:r>
      <w:r w:rsidR="00094CB5" w:rsidRPr="00094CB5">
        <w:rPr>
          <w:rFonts w:asciiTheme="minorHAnsi" w:hAnsiTheme="minorHAnsi" w:cstheme="minorHAnsi"/>
          <w:b/>
          <w:sz w:val="18"/>
          <w:szCs w:val="18"/>
        </w:rPr>
        <w:t>Usługa efektywnego pozyskiwania studentów na 6-letni program studiów na kierunku lekarskim, 3-letni program studiów na kierunku pielęgniarstwo oraz 5,5 -letni program studiów na kierunku farmacja prowadzonym w języku angielskim</w:t>
      </w:r>
      <w:r w:rsidRPr="00094CB5">
        <w:rPr>
          <w:rFonts w:asciiTheme="minorHAnsi" w:hAnsiTheme="minorHAnsi" w:cstheme="minorHAnsi"/>
          <w:sz w:val="18"/>
          <w:szCs w:val="18"/>
        </w:rPr>
        <w:t xml:space="preserve">, </w:t>
      </w:r>
      <w:r w:rsidRPr="00BF5E26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BF5E26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094CB5">
        <w:rPr>
          <w:rFonts w:asciiTheme="minorHAnsi" w:hAnsiTheme="minorHAnsi" w:cstheme="minorHAnsi"/>
          <w:sz w:val="18"/>
          <w:szCs w:val="18"/>
        </w:rPr>
        <w:t>09.10.2023</w:t>
      </w:r>
      <w:r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BF5E26">
        <w:rPr>
          <w:rFonts w:asciiTheme="minorHAnsi" w:hAnsiTheme="minorHAnsi" w:cstheme="minorHAnsi"/>
          <w:sz w:val="18"/>
          <w:szCs w:val="18"/>
        </w:rPr>
        <w:t>wpłynęł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="00E31081"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094CB5">
        <w:rPr>
          <w:rFonts w:asciiTheme="minorHAnsi" w:hAnsiTheme="minorHAnsi" w:cstheme="minorHAnsi"/>
          <w:sz w:val="18"/>
          <w:szCs w:val="18"/>
        </w:rPr>
        <w:t>1</w:t>
      </w:r>
      <w:r w:rsidR="0023186E" w:rsidRPr="00BF5E26">
        <w:rPr>
          <w:rFonts w:asciiTheme="minorHAnsi" w:hAnsiTheme="minorHAnsi" w:cstheme="minorHAnsi"/>
          <w:sz w:val="18"/>
          <w:szCs w:val="18"/>
        </w:rPr>
        <w:t xml:space="preserve"> ofert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Pr="00BF5E26">
        <w:rPr>
          <w:rFonts w:asciiTheme="minorHAnsi" w:hAnsiTheme="minorHAnsi" w:cstheme="minorHAnsi"/>
          <w:sz w:val="18"/>
          <w:szCs w:val="18"/>
        </w:rPr>
        <w:t>.</w:t>
      </w:r>
    </w:p>
    <w:p w:rsidR="009708BB" w:rsidRPr="0040777E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 w:rsidR="008957EC">
        <w:rPr>
          <w:rFonts w:ascii="Calibri" w:hAnsi="Calibri" w:cs="Arial"/>
          <w:b/>
          <w:sz w:val="18"/>
          <w:szCs w:val="18"/>
          <w:u w:val="single"/>
        </w:rPr>
        <w:t>1</w:t>
      </w:r>
    </w:p>
    <w:p w:rsidR="009708BB" w:rsidRPr="0040777E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40777E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559"/>
        <w:gridCol w:w="2126"/>
      </w:tblGrid>
      <w:tr w:rsidR="00094CB5" w:rsidRPr="0040777E" w:rsidTr="00094CB5">
        <w:trPr>
          <w:trHeight w:val="472"/>
          <w:jc w:val="center"/>
        </w:trPr>
        <w:tc>
          <w:tcPr>
            <w:tcW w:w="846" w:type="dxa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3" w:type="dxa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559" w:type="dxa"/>
            <w:vAlign w:val="center"/>
            <w:hideMark/>
          </w:tcPr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Potencjał 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osobowy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”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2126" w:type="dxa"/>
            <w:vAlign w:val="center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94CB5" w:rsidRPr="0040777E" w:rsidTr="00094CB5">
        <w:trPr>
          <w:trHeight w:val="56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094CB5" w:rsidRPr="00B11A32" w:rsidRDefault="008957E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957EC" w:rsidRPr="008957EC" w:rsidRDefault="008957EC" w:rsidP="008957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EDUCATION POLAND </w:t>
            </w:r>
            <w:proofErr w:type="spellStart"/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Ltd</w:t>
            </w:r>
            <w:proofErr w:type="spellEnd"/>
          </w:p>
          <w:p w:rsidR="008957EC" w:rsidRPr="008957EC" w:rsidRDefault="008957EC" w:rsidP="008957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SUITE 601 INTERNATIONAL HOUSE</w:t>
            </w:r>
          </w:p>
          <w:p w:rsidR="008957EC" w:rsidRPr="008957EC" w:rsidRDefault="008957EC" w:rsidP="008957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REGENT STREET</w:t>
            </w:r>
          </w:p>
          <w:p w:rsidR="00094CB5" w:rsidRPr="0074614C" w:rsidRDefault="008957EC" w:rsidP="008957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LONDON W1B 2QD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051BCF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8957EC" w:rsidRDefault="008957EC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8957EC" w:rsidRPr="0040777E" w:rsidRDefault="008957EC" w:rsidP="008957EC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Arial"/>
          <w:b/>
          <w:sz w:val="18"/>
          <w:szCs w:val="18"/>
          <w:u w:val="single"/>
        </w:rPr>
        <w:t>4</w:t>
      </w:r>
    </w:p>
    <w:p w:rsidR="008957EC" w:rsidRPr="0040777E" w:rsidRDefault="008957EC" w:rsidP="008957EC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40777E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559"/>
        <w:gridCol w:w="2126"/>
      </w:tblGrid>
      <w:tr w:rsidR="008957EC" w:rsidRPr="0040777E" w:rsidTr="001C71B6">
        <w:trPr>
          <w:trHeight w:val="472"/>
          <w:jc w:val="center"/>
        </w:trPr>
        <w:tc>
          <w:tcPr>
            <w:tcW w:w="846" w:type="dxa"/>
            <w:hideMark/>
          </w:tcPr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3" w:type="dxa"/>
          </w:tcPr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559" w:type="dxa"/>
            <w:vAlign w:val="center"/>
            <w:hideMark/>
          </w:tcPr>
          <w:p w:rsidR="008957EC" w:rsidRPr="00BF5E26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Potencjał 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osobowy</w:t>
            </w:r>
          </w:p>
          <w:p w:rsidR="008957EC" w:rsidRPr="00BF5E26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”</w:t>
            </w:r>
          </w:p>
          <w:p w:rsidR="008957EC" w:rsidRPr="00BF5E26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2126" w:type="dxa"/>
            <w:vAlign w:val="center"/>
          </w:tcPr>
          <w:p w:rsidR="008957EC" w:rsidRPr="0040777E" w:rsidRDefault="008957EC" w:rsidP="001C71B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8957EC" w:rsidRPr="0040777E" w:rsidTr="001C71B6">
        <w:trPr>
          <w:trHeight w:val="56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8957EC" w:rsidRPr="00B11A32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957EC" w:rsidRPr="008957EC" w:rsidRDefault="008957EC" w:rsidP="001C71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EDUCATION POLAND </w:t>
            </w:r>
            <w:proofErr w:type="spellStart"/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Ltd</w:t>
            </w:r>
            <w:proofErr w:type="spellEnd"/>
          </w:p>
          <w:p w:rsidR="008957EC" w:rsidRPr="008957EC" w:rsidRDefault="008957EC" w:rsidP="001C71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SUITE 601 INTERNATIONAL HOUSE</w:t>
            </w:r>
          </w:p>
          <w:p w:rsidR="008957EC" w:rsidRPr="008957EC" w:rsidRDefault="008957EC" w:rsidP="001C71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REGENT STREET</w:t>
            </w:r>
          </w:p>
          <w:p w:rsidR="008957EC" w:rsidRPr="0074614C" w:rsidRDefault="008957EC" w:rsidP="001C71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957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LONDON W1B 2QD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957EC" w:rsidRPr="00B11A32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957EC" w:rsidRPr="00B11A32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957EC" w:rsidRPr="00B11A32" w:rsidRDefault="008957EC" w:rsidP="001C71B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8957EC" w:rsidRPr="0040777E" w:rsidRDefault="008957EC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05E19" w:rsidRPr="00C27B52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Wybrano ofert</w:t>
      </w:r>
      <w:r w:rsidR="00DD7437"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ę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:</w:t>
      </w:r>
    </w:p>
    <w:p w:rsidR="00051BCF" w:rsidRPr="00C27B52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47EF1" w:rsidRPr="00C27B52" w:rsidRDefault="00051BCF" w:rsidP="00B3397C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 w:rsidR="008957E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1</w:t>
      </w:r>
    </w:p>
    <w:p w:rsidR="00094CB5" w:rsidRDefault="008957EC" w:rsidP="008957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EDUCATION POLAND </w:t>
      </w:r>
      <w:proofErr w:type="spellStart"/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Ltd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SUITE 601 INTERNATIONAL HOUSE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REGENT STREET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LONDON W1B 2QD</w:t>
      </w:r>
    </w:p>
    <w:p w:rsidR="00051BCF" w:rsidRPr="00094CB5" w:rsidRDefault="00EE24F9" w:rsidP="00094C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1722D2" w:rsidRPr="006B2F08" w:rsidRDefault="00B3397C" w:rsidP="006B2F0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Pr="00C27B52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</w:t>
      </w: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8957EC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Pr="00C27B52" w:rsidRDefault="008957EC" w:rsidP="008957EC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4</w:t>
      </w:r>
    </w:p>
    <w:p w:rsidR="008957EC" w:rsidRDefault="008957EC" w:rsidP="008957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EDUCATION POLAND </w:t>
      </w:r>
      <w:proofErr w:type="spellStart"/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Ltd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SUITE 601 INTERNATIONAL HOUSE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REGENT STREET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8957EC">
        <w:rPr>
          <w:rFonts w:asciiTheme="minorHAnsi" w:hAnsiTheme="minorHAnsi" w:cstheme="minorHAnsi"/>
          <w:b/>
          <w:sz w:val="18"/>
          <w:szCs w:val="18"/>
          <w:lang w:eastAsia="en-US"/>
        </w:rPr>
        <w:t>LONDON W1B 2QD</w:t>
      </w:r>
    </w:p>
    <w:p w:rsidR="008957EC" w:rsidRPr="00094CB5" w:rsidRDefault="008957EC" w:rsidP="008957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8957EC" w:rsidRPr="006B2F08" w:rsidRDefault="008957EC" w:rsidP="008957EC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Pr="00C27B52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</w:t>
      </w:r>
    </w:p>
    <w:p w:rsidR="008957EC" w:rsidRDefault="008957EC" w:rsidP="008957EC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6B2F08" w:rsidRDefault="006B2F08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957EC" w:rsidRPr="0040777E" w:rsidRDefault="008957E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B3397C" w:rsidRPr="00B10582" w:rsidRDefault="008B1B21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="00B3397C" w:rsidRPr="00B10582">
        <w:rPr>
          <w:rFonts w:asciiTheme="majorHAnsi" w:hAnsiTheme="majorHAnsi" w:cstheme="majorHAnsi"/>
          <w:i/>
        </w:rPr>
        <w:t xml:space="preserve">          </w:t>
      </w:r>
      <w:r w:rsidR="00B3397C" w:rsidRPr="00B10582">
        <w:rPr>
          <w:rFonts w:asciiTheme="minorHAnsi" w:hAnsiTheme="minorHAnsi" w:cstheme="minorHAnsi"/>
          <w:i/>
        </w:rPr>
        <w:t>p.o. Kanclerza</w:t>
      </w:r>
    </w:p>
    <w:p w:rsidR="00B3397C" w:rsidRPr="00B10582" w:rsidRDefault="00B3397C" w:rsidP="00B3397C">
      <w:pPr>
        <w:spacing w:line="276" w:lineRule="auto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  <w:t xml:space="preserve">        </w:t>
      </w:r>
      <w:r w:rsidR="007B3ACE">
        <w:rPr>
          <w:rFonts w:asciiTheme="minorHAnsi" w:hAnsiTheme="minorHAnsi" w:cstheme="minorHAnsi"/>
          <w:i/>
        </w:rPr>
        <w:t>/-/</w:t>
      </w:r>
      <w:bookmarkStart w:id="1" w:name="_GoBack"/>
      <w:bookmarkEnd w:id="1"/>
      <w:r w:rsidRPr="00B10582">
        <w:rPr>
          <w:rFonts w:asciiTheme="minorHAnsi" w:hAnsiTheme="minorHAnsi" w:cstheme="minorHAnsi"/>
          <w:i/>
        </w:rPr>
        <w:t xml:space="preserve">  </w:t>
      </w:r>
    </w:p>
    <w:p w:rsidR="00B3397C" w:rsidRPr="00B10582" w:rsidRDefault="00B3397C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B10582">
        <w:rPr>
          <w:rFonts w:asciiTheme="minorHAnsi" w:hAnsiTheme="minorHAnsi" w:cstheme="minorHAnsi"/>
          <w:i/>
        </w:rPr>
        <w:t>Bigda</w:t>
      </w:r>
      <w:proofErr w:type="spellEnd"/>
    </w:p>
    <w:p w:rsidR="00245AD1" w:rsidRDefault="00245AD1" w:rsidP="00B3397C">
      <w:pPr>
        <w:tabs>
          <w:tab w:val="left" w:pos="709"/>
          <w:tab w:val="left" w:pos="3544"/>
        </w:tabs>
        <w:jc w:val="right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  <w:t xml:space="preserve">      </w:t>
      </w: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B72F14">
        <w:rPr>
          <w:rFonts w:ascii="Calibri" w:hAnsi="Calibri" w:cs="Calibri"/>
          <w:sz w:val="18"/>
          <w:szCs w:val="18"/>
        </w:rPr>
        <w:t xml:space="preserve">          </w:t>
      </w: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8957EC" w:rsidRDefault="008957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1A" w:rsidRDefault="0002231A" w:rsidP="000A396A">
      <w:r>
        <w:separator/>
      </w:r>
    </w:p>
  </w:endnote>
  <w:endnote w:type="continuationSeparator" w:id="0">
    <w:p w:rsidR="0002231A" w:rsidRDefault="0002231A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1A" w:rsidRDefault="0002231A" w:rsidP="000A396A">
      <w:r>
        <w:separator/>
      </w:r>
    </w:p>
  </w:footnote>
  <w:footnote w:type="continuationSeparator" w:id="0">
    <w:p w:rsidR="0002231A" w:rsidRDefault="0002231A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231A"/>
    <w:rsid w:val="00023183"/>
    <w:rsid w:val="00032DCF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94CB5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70E3"/>
    <w:rsid w:val="002F433B"/>
    <w:rsid w:val="002F4439"/>
    <w:rsid w:val="002F4718"/>
    <w:rsid w:val="00300BDD"/>
    <w:rsid w:val="003018FC"/>
    <w:rsid w:val="003051DE"/>
    <w:rsid w:val="003108FE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2F08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3ACE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76BFA"/>
    <w:rsid w:val="00886C24"/>
    <w:rsid w:val="008957EC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20D4A"/>
    <w:rsid w:val="00B31E84"/>
    <w:rsid w:val="00B3397C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BF5E26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8702E"/>
    <w:rsid w:val="00C920C8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4FCE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14FA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9421-C360-4ECC-8B8D-6B626D45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2023-11-23T09:38:00Z</cp:lastPrinted>
  <dcterms:created xsi:type="dcterms:W3CDTF">2023-11-23T09:39:00Z</dcterms:created>
  <dcterms:modified xsi:type="dcterms:W3CDTF">2023-11-23T09:39:00Z</dcterms:modified>
</cp:coreProperties>
</file>