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42DC7ACB" w:rsidR="00997A60" w:rsidRPr="0071516F" w:rsidRDefault="00FC1EE8" w:rsidP="0089522F">
      <w:pPr>
        <w:spacing w:after="0" w:line="312" w:lineRule="auto"/>
        <w:jc w:val="right"/>
      </w:pPr>
      <w:r w:rsidRPr="0071516F">
        <w:t>Białystok, dnia</w:t>
      </w:r>
      <w:r w:rsidR="005615D2" w:rsidRPr="0071516F">
        <w:t xml:space="preserve"> </w:t>
      </w:r>
      <w:r w:rsidR="00397006">
        <w:t>22</w:t>
      </w:r>
      <w:r w:rsidR="005615D2" w:rsidRPr="0071516F">
        <w:t>.</w:t>
      </w:r>
      <w:r w:rsidR="00397006">
        <w:t>03</w:t>
      </w:r>
      <w:r w:rsidR="008C538B" w:rsidRPr="0071516F">
        <w:t>.</w:t>
      </w:r>
      <w:r w:rsidR="00397006">
        <w:t>2022</w:t>
      </w:r>
      <w:r w:rsidR="005615D2" w:rsidRPr="0071516F">
        <w:t xml:space="preserve"> r.</w:t>
      </w:r>
    </w:p>
    <w:p w14:paraId="56A73C48" w14:textId="20B07674" w:rsidR="00997A60" w:rsidRDefault="00997A60" w:rsidP="0089522F">
      <w:pPr>
        <w:spacing w:after="0" w:line="312" w:lineRule="auto"/>
        <w:jc w:val="both"/>
        <w:rPr>
          <w:b/>
          <w:bCs/>
        </w:rPr>
      </w:pPr>
    </w:p>
    <w:p w14:paraId="68C07C95" w14:textId="77777777" w:rsidR="00997A60" w:rsidRDefault="00FC1EE8" w:rsidP="0089522F">
      <w:pPr>
        <w:spacing w:after="0" w:line="312" w:lineRule="auto"/>
        <w:jc w:val="center"/>
        <w:rPr>
          <w:b/>
          <w:bCs/>
          <w:sz w:val="32"/>
          <w:szCs w:val="32"/>
        </w:rPr>
      </w:pPr>
      <w:r>
        <w:rPr>
          <w:b/>
          <w:bCs/>
          <w:sz w:val="32"/>
          <w:szCs w:val="32"/>
        </w:rPr>
        <w:t>SPECYFIKACJA WARUNKÓW ZAMÓWIENIA</w:t>
      </w:r>
    </w:p>
    <w:p w14:paraId="3B784595" w14:textId="77777777" w:rsidR="00997A60" w:rsidRDefault="00997A60" w:rsidP="0089522F">
      <w:pPr>
        <w:spacing w:after="0" w:line="312" w:lineRule="auto"/>
        <w:jc w:val="center"/>
        <w:rPr>
          <w:sz w:val="28"/>
          <w:szCs w:val="28"/>
        </w:rPr>
      </w:pPr>
    </w:p>
    <w:p w14:paraId="520410BF" w14:textId="77777777" w:rsidR="00E34483" w:rsidRDefault="00FC1EE8" w:rsidP="0089522F">
      <w:pPr>
        <w:spacing w:after="0" w:line="312"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5EBA6CFF" w:rsidR="00FC1EE8" w:rsidRPr="00AA126E" w:rsidRDefault="00FC1EE8" w:rsidP="0089522F">
      <w:pPr>
        <w:spacing w:after="0" w:line="312" w:lineRule="auto"/>
        <w:ind w:left="993" w:hanging="993"/>
        <w:jc w:val="center"/>
        <w:rPr>
          <w:b/>
        </w:rPr>
      </w:pPr>
      <w:r>
        <w:t xml:space="preserve"> </w:t>
      </w:r>
      <w:r w:rsidR="00E34483" w:rsidRPr="00AA126E">
        <w:rPr>
          <w:b/>
        </w:rPr>
        <w:t>„</w:t>
      </w:r>
      <w:r w:rsidR="00E34483" w:rsidRPr="00AA126E">
        <w:rPr>
          <w:b/>
          <w:i/>
          <w:iCs/>
        </w:rPr>
        <w:t>D</w:t>
      </w:r>
      <w:r w:rsidRPr="00AA126E">
        <w:rPr>
          <w:b/>
          <w:i/>
          <w:iCs/>
        </w:rPr>
        <w:t xml:space="preserve">ostawę samochodu osobowego typu furgon wraz </w:t>
      </w:r>
      <w:r w:rsidR="008F28E4" w:rsidRPr="00AA126E">
        <w:rPr>
          <w:b/>
          <w:i/>
          <w:iCs/>
        </w:rPr>
        <w:t xml:space="preserve">z zabudową biurową oraz </w:t>
      </w:r>
      <w:r w:rsidRPr="00AA126E">
        <w:rPr>
          <w:b/>
          <w:i/>
          <w:iCs/>
        </w:rPr>
        <w:t>wyposażeniem</w:t>
      </w:r>
      <w:r w:rsidR="00E34483" w:rsidRPr="00AA126E">
        <w:rPr>
          <w:b/>
        </w:rPr>
        <w:t xml:space="preserve">” </w:t>
      </w:r>
    </w:p>
    <w:p w14:paraId="26B045A6" w14:textId="0CE2AAAF" w:rsidR="00997A60" w:rsidRPr="00E34483" w:rsidRDefault="00FC1EE8" w:rsidP="0089522F">
      <w:pPr>
        <w:spacing w:after="0" w:line="312" w:lineRule="auto"/>
        <w:jc w:val="center"/>
        <w:rPr>
          <w:lang w:val="en-GB"/>
        </w:rPr>
      </w:pPr>
      <w:r w:rsidRPr="006F6AA8">
        <w:t xml:space="preserve">w ramach </w:t>
      </w:r>
      <w:r w:rsidR="00E34483" w:rsidRPr="006F6AA8">
        <w:t xml:space="preserve">realizacji </w:t>
      </w:r>
      <w:r w:rsidRPr="006F6AA8">
        <w:t xml:space="preserve">Projektu pn. </w:t>
      </w:r>
      <w:r w:rsidRPr="006F6AA8">
        <w:rPr>
          <w:lang w:val="en-GB"/>
        </w:rPr>
        <w:t>„</w:t>
      </w:r>
      <w:proofErr w:type="spellStart"/>
      <w:r w:rsidR="0064455A">
        <w:rPr>
          <w:i/>
          <w:iCs/>
          <w:lang w:val="en-GB"/>
        </w:rPr>
        <w:t>Streng</w:t>
      </w:r>
      <w:r w:rsidR="005A7367">
        <w:rPr>
          <w:i/>
          <w:iCs/>
          <w:lang w:val="en-GB"/>
        </w:rPr>
        <w:t>h</w:t>
      </w:r>
      <w:r w:rsidR="0064455A">
        <w:rPr>
          <w:i/>
          <w:iCs/>
          <w:lang w:val="en-GB"/>
        </w:rPr>
        <w:t>t</w:t>
      </w:r>
      <w:r w:rsidR="005A7367">
        <w:rPr>
          <w:i/>
          <w:iCs/>
          <w:lang w:val="en-GB"/>
        </w:rPr>
        <w:t>ening</w:t>
      </w:r>
      <w:proofErr w:type="spellEnd"/>
      <w:r w:rsidR="005A7367">
        <w:rPr>
          <w:i/>
          <w:iCs/>
          <w:lang w:val="en-GB"/>
        </w:rPr>
        <w:t xml:space="preserve"> the detection methods, leading to effective eradication of cross-border crime, targeted in financial loss of the European Union </w:t>
      </w:r>
      <w:r w:rsidR="00E34483" w:rsidRPr="006F6AA8">
        <w:rPr>
          <w:lang w:val="en-GB"/>
        </w:rPr>
        <w:t>”</w:t>
      </w:r>
      <w:r w:rsidRPr="006F6AA8">
        <w:rPr>
          <w:lang w:val="en-GB"/>
        </w:rPr>
        <w:t xml:space="preserve"> </w:t>
      </w:r>
      <w:r w:rsidR="00E34483" w:rsidRPr="006F6AA8">
        <w:rPr>
          <w:lang w:val="en-GB"/>
        </w:rPr>
        <w:t>(„</w:t>
      </w:r>
      <w:proofErr w:type="spellStart"/>
      <w:r w:rsidR="005A7367">
        <w:rPr>
          <w:i/>
          <w:iCs/>
          <w:lang w:val="en-GB"/>
        </w:rPr>
        <w:t>Wzmocnienie</w:t>
      </w:r>
      <w:proofErr w:type="spellEnd"/>
      <w:r w:rsidR="005A7367">
        <w:rPr>
          <w:i/>
          <w:iCs/>
          <w:lang w:val="en-GB"/>
        </w:rPr>
        <w:t xml:space="preserve"> </w:t>
      </w:r>
      <w:proofErr w:type="spellStart"/>
      <w:r w:rsidR="005A7367">
        <w:rPr>
          <w:i/>
          <w:iCs/>
          <w:lang w:val="en-GB"/>
        </w:rPr>
        <w:t>metod</w:t>
      </w:r>
      <w:proofErr w:type="spellEnd"/>
      <w:r w:rsidR="005A7367">
        <w:rPr>
          <w:i/>
          <w:iCs/>
          <w:lang w:val="en-GB"/>
        </w:rPr>
        <w:t xml:space="preserve"> </w:t>
      </w:r>
      <w:proofErr w:type="spellStart"/>
      <w:r w:rsidR="005A7367">
        <w:rPr>
          <w:i/>
          <w:iCs/>
          <w:lang w:val="en-GB"/>
        </w:rPr>
        <w:t>wykrywczych</w:t>
      </w:r>
      <w:proofErr w:type="spellEnd"/>
      <w:r w:rsidR="005A7367">
        <w:rPr>
          <w:i/>
          <w:iCs/>
          <w:lang w:val="en-GB"/>
        </w:rPr>
        <w:t xml:space="preserve">, </w:t>
      </w:r>
      <w:proofErr w:type="spellStart"/>
      <w:r w:rsidR="005A7367">
        <w:rPr>
          <w:i/>
          <w:iCs/>
          <w:lang w:val="en-GB"/>
        </w:rPr>
        <w:t>prowadzących</w:t>
      </w:r>
      <w:proofErr w:type="spellEnd"/>
      <w:r w:rsidR="005A7367">
        <w:rPr>
          <w:i/>
          <w:iCs/>
          <w:lang w:val="en-GB"/>
        </w:rPr>
        <w:t xml:space="preserve"> do </w:t>
      </w:r>
      <w:proofErr w:type="spellStart"/>
      <w:r w:rsidR="005A7367">
        <w:rPr>
          <w:i/>
          <w:iCs/>
          <w:lang w:val="en-GB"/>
        </w:rPr>
        <w:t>skutecznego</w:t>
      </w:r>
      <w:proofErr w:type="spellEnd"/>
      <w:r w:rsidR="005A7367">
        <w:rPr>
          <w:i/>
          <w:iCs/>
          <w:lang w:val="en-GB"/>
        </w:rPr>
        <w:t xml:space="preserve"> </w:t>
      </w:r>
      <w:proofErr w:type="spellStart"/>
      <w:r w:rsidR="005A7367">
        <w:rPr>
          <w:i/>
          <w:iCs/>
          <w:lang w:val="en-GB"/>
        </w:rPr>
        <w:t>zwalczania</w:t>
      </w:r>
      <w:proofErr w:type="spellEnd"/>
      <w:r w:rsidR="005A7367">
        <w:rPr>
          <w:i/>
          <w:iCs/>
          <w:lang w:val="en-GB"/>
        </w:rPr>
        <w:t xml:space="preserve"> </w:t>
      </w:r>
      <w:proofErr w:type="spellStart"/>
      <w:r w:rsidR="005A7367">
        <w:rPr>
          <w:i/>
          <w:iCs/>
          <w:lang w:val="en-GB"/>
        </w:rPr>
        <w:t>przestępczości</w:t>
      </w:r>
      <w:proofErr w:type="spellEnd"/>
      <w:r w:rsidR="005A7367">
        <w:rPr>
          <w:i/>
          <w:iCs/>
          <w:lang w:val="en-GB"/>
        </w:rPr>
        <w:t xml:space="preserve"> </w:t>
      </w:r>
      <w:proofErr w:type="spellStart"/>
      <w:r w:rsidR="005A7367">
        <w:rPr>
          <w:i/>
          <w:iCs/>
          <w:lang w:val="en-GB"/>
        </w:rPr>
        <w:t>transgranicznej</w:t>
      </w:r>
      <w:proofErr w:type="spellEnd"/>
      <w:r w:rsidR="005A7367">
        <w:rPr>
          <w:i/>
          <w:iCs/>
          <w:lang w:val="en-GB"/>
        </w:rPr>
        <w:t xml:space="preserve">, </w:t>
      </w:r>
      <w:proofErr w:type="spellStart"/>
      <w:r w:rsidR="0064455A">
        <w:rPr>
          <w:i/>
          <w:iCs/>
          <w:lang w:val="en-GB"/>
        </w:rPr>
        <w:t>wymierzonej</w:t>
      </w:r>
      <w:proofErr w:type="spellEnd"/>
      <w:r w:rsidR="0064455A">
        <w:rPr>
          <w:i/>
          <w:iCs/>
          <w:lang w:val="en-GB"/>
        </w:rPr>
        <w:t xml:space="preserve"> w </w:t>
      </w:r>
      <w:proofErr w:type="spellStart"/>
      <w:r w:rsidR="0064455A">
        <w:rPr>
          <w:i/>
          <w:iCs/>
          <w:lang w:val="en-GB"/>
        </w:rPr>
        <w:t>finans</w:t>
      </w:r>
      <w:r w:rsidR="005A7367">
        <w:rPr>
          <w:i/>
          <w:iCs/>
          <w:lang w:val="en-GB"/>
        </w:rPr>
        <w:t>e</w:t>
      </w:r>
      <w:proofErr w:type="spellEnd"/>
      <w:r w:rsidR="005A7367">
        <w:rPr>
          <w:i/>
          <w:iCs/>
          <w:lang w:val="en-GB"/>
        </w:rPr>
        <w:t xml:space="preserve"> </w:t>
      </w:r>
      <w:proofErr w:type="spellStart"/>
      <w:r w:rsidR="005A7367">
        <w:rPr>
          <w:i/>
          <w:iCs/>
          <w:lang w:val="en-GB"/>
        </w:rPr>
        <w:t>Unii</w:t>
      </w:r>
      <w:proofErr w:type="spellEnd"/>
      <w:r w:rsidR="005A7367">
        <w:rPr>
          <w:i/>
          <w:iCs/>
          <w:lang w:val="en-GB"/>
        </w:rPr>
        <w:t xml:space="preserve"> </w:t>
      </w:r>
      <w:proofErr w:type="spellStart"/>
      <w:r w:rsidR="005A7367">
        <w:rPr>
          <w:i/>
          <w:iCs/>
          <w:lang w:val="en-GB"/>
        </w:rPr>
        <w:t>Europejskiej</w:t>
      </w:r>
      <w:proofErr w:type="spellEnd"/>
      <w:r w:rsidRPr="006F6AA8">
        <w:rPr>
          <w:lang w:val="en-GB"/>
        </w:rPr>
        <w:t>”)</w:t>
      </w:r>
    </w:p>
    <w:p w14:paraId="536CACDF" w14:textId="675795EE" w:rsidR="00997A60" w:rsidRDefault="00FC1EE8" w:rsidP="0089522F">
      <w:pPr>
        <w:spacing w:after="0" w:line="312" w:lineRule="auto"/>
        <w:jc w:val="center"/>
        <w:rPr>
          <w:i/>
          <w:iCs/>
        </w:rPr>
      </w:pPr>
      <w:bookmarkStart w:id="1" w:name="_Hlk75594067"/>
      <w:r>
        <w:t>finansowan</w:t>
      </w:r>
      <w:r w:rsidR="002C43E0">
        <w:t>ego</w:t>
      </w:r>
      <w:r>
        <w:t xml:space="preserve"> z Programu </w:t>
      </w:r>
      <w:proofErr w:type="spellStart"/>
      <w:r w:rsidR="0098152C" w:rsidRPr="0098152C">
        <w:rPr>
          <w:lang w:val="en-GB"/>
        </w:rPr>
        <w:t>Unii</w:t>
      </w:r>
      <w:proofErr w:type="spellEnd"/>
      <w:r w:rsidR="0098152C" w:rsidRPr="0098152C">
        <w:rPr>
          <w:lang w:val="en-GB"/>
        </w:rPr>
        <w:t xml:space="preserve"> </w:t>
      </w:r>
      <w:proofErr w:type="spellStart"/>
      <w:r w:rsidR="0098152C" w:rsidRPr="0098152C">
        <w:rPr>
          <w:lang w:val="en-GB"/>
        </w:rPr>
        <w:t>Europejskiej</w:t>
      </w:r>
      <w:proofErr w:type="spellEnd"/>
      <w:r w:rsidR="0098152C" w:rsidRPr="0098152C">
        <w:rPr>
          <w:lang w:val="en-GB"/>
        </w:rPr>
        <w:t xml:space="preserve"> </w:t>
      </w:r>
      <w:proofErr w:type="spellStart"/>
      <w:r>
        <w:t>Hercule</w:t>
      </w:r>
      <w:proofErr w:type="spellEnd"/>
      <w:r>
        <w:t xml:space="preserve"> III </w:t>
      </w:r>
    </w:p>
    <w:bookmarkEnd w:id="0"/>
    <w:bookmarkEnd w:id="1"/>
    <w:p w14:paraId="0B30D05D" w14:textId="61A53DA3" w:rsidR="00997A60" w:rsidRDefault="00FC1EE8" w:rsidP="0089522F">
      <w:pPr>
        <w:spacing w:after="0" w:line="312" w:lineRule="auto"/>
        <w:ind w:left="993" w:hanging="993"/>
        <w:jc w:val="center"/>
        <w:rPr>
          <w:highlight w:val="yellow"/>
        </w:rPr>
      </w:pPr>
      <w:r>
        <w:rPr>
          <w:i/>
          <w:iCs/>
        </w:rPr>
        <w:t xml:space="preserve">Nr </w:t>
      </w:r>
      <w:r w:rsidRPr="00245724">
        <w:rPr>
          <w:i/>
          <w:iCs/>
        </w:rPr>
        <w:t>postępowania</w:t>
      </w:r>
      <w:r w:rsidRPr="00245724">
        <w:t xml:space="preserve">: </w:t>
      </w:r>
      <w:r w:rsidR="00397006">
        <w:t>9/S/22</w:t>
      </w:r>
    </w:p>
    <w:p w14:paraId="6AB64218" w14:textId="77777777" w:rsidR="00997A60" w:rsidRDefault="00997A60" w:rsidP="0089522F">
      <w:pPr>
        <w:spacing w:after="0" w:line="312" w:lineRule="auto"/>
        <w:jc w:val="both"/>
      </w:pPr>
    </w:p>
    <w:p w14:paraId="6D128967" w14:textId="77777777" w:rsidR="00997A60" w:rsidRDefault="00FC1EE8" w:rsidP="0089522F">
      <w:pPr>
        <w:spacing w:after="0" w:line="312" w:lineRule="auto"/>
        <w:jc w:val="both"/>
      </w:pPr>
      <w:r>
        <w:t>___________________________________________________________________________</w:t>
      </w:r>
    </w:p>
    <w:p w14:paraId="7B2E29D4" w14:textId="1D6029A7" w:rsidR="00997A60" w:rsidRDefault="00FC1EE8" w:rsidP="0089522F">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Pr="00AA126E">
        <w:rPr>
          <w:b/>
        </w:rPr>
        <w:t>„</w:t>
      </w:r>
      <w:r w:rsidR="004B7B3E" w:rsidRPr="00AA126E">
        <w:rPr>
          <w:b/>
          <w:i/>
          <w:iCs/>
        </w:rPr>
        <w:t>Dostawę samochodu osobowego typu furgon wraz z zabudową biurową oraz wyposażeniem</w:t>
      </w:r>
      <w:r w:rsidRPr="00AA126E">
        <w:rPr>
          <w:b/>
        </w:rPr>
        <w:t>”,</w:t>
      </w:r>
      <w:r w:rsidRPr="00245724">
        <w:t xml:space="preserve"> nr postępowania </w:t>
      </w:r>
      <w:r w:rsidR="00363B82">
        <w:t>9/S/22</w:t>
      </w:r>
      <w:r w:rsidR="003C7805" w:rsidRPr="00245724">
        <w:t xml:space="preserve">, </w:t>
      </w:r>
      <w:r w:rsidRPr="00245724">
        <w:t xml:space="preserve">w ramach </w:t>
      </w:r>
      <w:r w:rsidR="006F6AA8" w:rsidRPr="00245724">
        <w:t xml:space="preserve">realizacji </w:t>
      </w:r>
      <w:r w:rsidRPr="00245724">
        <w:t>Projektu</w:t>
      </w:r>
      <w:r>
        <w:t xml:space="preserve"> pn. </w:t>
      </w:r>
      <w:r w:rsidRPr="006F6AA8">
        <w:rPr>
          <w:lang w:val="en-GB"/>
        </w:rPr>
        <w:t>„</w:t>
      </w:r>
      <w:bookmarkStart w:id="2" w:name="_Hlk74813020"/>
      <w:r w:rsidR="001F6D44" w:rsidRPr="001F6D44">
        <w:rPr>
          <w:i/>
          <w:iCs/>
          <w:lang w:val="en-GB"/>
        </w:rPr>
        <w:t xml:space="preserve"> </w:t>
      </w:r>
      <w:proofErr w:type="spellStart"/>
      <w:r w:rsidR="001F6D44" w:rsidRPr="001F6D44">
        <w:rPr>
          <w:i/>
          <w:iCs/>
          <w:lang w:val="en-GB"/>
        </w:rPr>
        <w:t>Stren</w:t>
      </w:r>
      <w:r w:rsidR="00D906CC">
        <w:rPr>
          <w:i/>
          <w:iCs/>
          <w:lang w:val="en-GB"/>
        </w:rPr>
        <w:t>g</w:t>
      </w:r>
      <w:r w:rsidR="001F6D44" w:rsidRPr="001F6D44">
        <w:rPr>
          <w:i/>
          <w:iCs/>
          <w:lang w:val="en-GB"/>
        </w:rPr>
        <w:t>h</w:t>
      </w:r>
      <w:r w:rsidR="00D906CC">
        <w:rPr>
          <w:i/>
          <w:iCs/>
          <w:lang w:val="en-GB"/>
        </w:rPr>
        <w:t>t</w:t>
      </w:r>
      <w:r w:rsidR="001F6D44" w:rsidRPr="001F6D44">
        <w:rPr>
          <w:i/>
          <w:iCs/>
          <w:lang w:val="en-GB"/>
        </w:rPr>
        <w:t>ening</w:t>
      </w:r>
      <w:proofErr w:type="spellEnd"/>
      <w:r w:rsidR="001F6D44" w:rsidRPr="001F6D44">
        <w:rPr>
          <w:i/>
          <w:iCs/>
          <w:lang w:val="en-GB"/>
        </w:rPr>
        <w:t xml:space="preserve"> the detection methods, leading to effective eradication of cross-border crime, targeted in financial loss of the European Union</w:t>
      </w:r>
      <w:r w:rsidR="006F6AA8" w:rsidRPr="001F6D44">
        <w:rPr>
          <w:i/>
          <w:iCs/>
          <w:lang w:val="en-GB"/>
        </w:rPr>
        <w:t>”</w:t>
      </w:r>
      <w:r>
        <w:rPr>
          <w:lang w:val="en-GB"/>
        </w:rPr>
        <w:t xml:space="preserve"> (</w:t>
      </w:r>
      <w:r w:rsidR="006F6AA8" w:rsidRPr="006F6AA8">
        <w:t>„</w:t>
      </w:r>
      <w:proofErr w:type="spellStart"/>
      <w:r w:rsidR="001F6D44" w:rsidRPr="001F6D44">
        <w:rPr>
          <w:i/>
          <w:iCs/>
          <w:lang w:val="en-GB"/>
        </w:rPr>
        <w:t>Wzmocnienie</w:t>
      </w:r>
      <w:proofErr w:type="spellEnd"/>
      <w:r w:rsidR="001F6D44" w:rsidRPr="001F6D44">
        <w:rPr>
          <w:i/>
          <w:iCs/>
          <w:lang w:val="en-GB"/>
        </w:rPr>
        <w:t xml:space="preserve"> </w:t>
      </w:r>
      <w:proofErr w:type="spellStart"/>
      <w:r w:rsidR="001F6D44" w:rsidRPr="001F6D44">
        <w:rPr>
          <w:i/>
          <w:iCs/>
          <w:lang w:val="en-GB"/>
        </w:rPr>
        <w:t>metod</w:t>
      </w:r>
      <w:proofErr w:type="spellEnd"/>
      <w:r w:rsidR="001F6D44" w:rsidRPr="001F6D44">
        <w:rPr>
          <w:i/>
          <w:iCs/>
          <w:lang w:val="en-GB"/>
        </w:rPr>
        <w:t xml:space="preserve"> </w:t>
      </w:r>
      <w:proofErr w:type="spellStart"/>
      <w:r w:rsidR="001F6D44" w:rsidRPr="001F6D44">
        <w:rPr>
          <w:i/>
          <w:iCs/>
          <w:lang w:val="en-GB"/>
        </w:rPr>
        <w:t>wykrywczych</w:t>
      </w:r>
      <w:proofErr w:type="spellEnd"/>
      <w:r w:rsidR="001F6D44" w:rsidRPr="001F6D44">
        <w:rPr>
          <w:i/>
          <w:iCs/>
          <w:lang w:val="en-GB"/>
        </w:rPr>
        <w:t xml:space="preserve">, </w:t>
      </w:r>
      <w:proofErr w:type="spellStart"/>
      <w:r w:rsidR="001F6D44" w:rsidRPr="001F6D44">
        <w:rPr>
          <w:i/>
          <w:iCs/>
          <w:lang w:val="en-GB"/>
        </w:rPr>
        <w:t>prowadzących</w:t>
      </w:r>
      <w:proofErr w:type="spellEnd"/>
      <w:r w:rsidR="001F6D44" w:rsidRPr="001F6D44">
        <w:rPr>
          <w:i/>
          <w:iCs/>
          <w:lang w:val="en-GB"/>
        </w:rPr>
        <w:t xml:space="preserve"> do </w:t>
      </w:r>
      <w:proofErr w:type="spellStart"/>
      <w:r w:rsidR="001F6D44" w:rsidRPr="001F6D44">
        <w:rPr>
          <w:i/>
          <w:iCs/>
          <w:lang w:val="en-GB"/>
        </w:rPr>
        <w:t>skutecznego</w:t>
      </w:r>
      <w:proofErr w:type="spellEnd"/>
      <w:r w:rsidR="001F6D44" w:rsidRPr="001F6D44">
        <w:rPr>
          <w:i/>
          <w:iCs/>
          <w:lang w:val="en-GB"/>
        </w:rPr>
        <w:t xml:space="preserve"> </w:t>
      </w:r>
      <w:proofErr w:type="spellStart"/>
      <w:r w:rsidR="001F6D44" w:rsidRPr="001F6D44">
        <w:rPr>
          <w:i/>
          <w:iCs/>
          <w:lang w:val="en-GB"/>
        </w:rPr>
        <w:t>zwalczania</w:t>
      </w:r>
      <w:proofErr w:type="spellEnd"/>
      <w:r w:rsidR="001F6D44" w:rsidRPr="001F6D44">
        <w:rPr>
          <w:i/>
          <w:iCs/>
          <w:lang w:val="en-GB"/>
        </w:rPr>
        <w:t xml:space="preserve"> </w:t>
      </w:r>
      <w:proofErr w:type="spellStart"/>
      <w:r w:rsidR="001F6D44" w:rsidRPr="001F6D44">
        <w:rPr>
          <w:i/>
          <w:iCs/>
          <w:lang w:val="en-GB"/>
        </w:rPr>
        <w:t>przestępczości</w:t>
      </w:r>
      <w:proofErr w:type="spellEnd"/>
      <w:r w:rsidR="001F6D44" w:rsidRPr="001F6D44">
        <w:rPr>
          <w:i/>
          <w:iCs/>
          <w:lang w:val="en-GB"/>
        </w:rPr>
        <w:t xml:space="preserve"> </w:t>
      </w:r>
      <w:proofErr w:type="spellStart"/>
      <w:r w:rsidR="001F6D44" w:rsidRPr="001F6D44">
        <w:rPr>
          <w:i/>
          <w:iCs/>
          <w:lang w:val="en-GB"/>
        </w:rPr>
        <w:t>transgranicznej</w:t>
      </w:r>
      <w:proofErr w:type="spellEnd"/>
      <w:r w:rsidR="001F6D44" w:rsidRPr="001F6D44">
        <w:rPr>
          <w:i/>
          <w:iCs/>
          <w:lang w:val="en-GB"/>
        </w:rPr>
        <w:t xml:space="preserve">, </w:t>
      </w:r>
      <w:proofErr w:type="spellStart"/>
      <w:r w:rsidR="001F6D44" w:rsidRPr="001F6D44">
        <w:rPr>
          <w:i/>
          <w:iCs/>
          <w:lang w:val="en-GB"/>
        </w:rPr>
        <w:t>wymierzonej</w:t>
      </w:r>
      <w:proofErr w:type="spellEnd"/>
      <w:r w:rsidR="001F6D44" w:rsidRPr="001F6D44">
        <w:rPr>
          <w:i/>
          <w:iCs/>
          <w:lang w:val="en-GB"/>
        </w:rPr>
        <w:t xml:space="preserve"> w finance </w:t>
      </w:r>
      <w:proofErr w:type="spellStart"/>
      <w:r w:rsidR="001F6D44" w:rsidRPr="001F6D44">
        <w:rPr>
          <w:i/>
          <w:iCs/>
          <w:lang w:val="en-GB"/>
        </w:rPr>
        <w:t>Unii</w:t>
      </w:r>
      <w:proofErr w:type="spellEnd"/>
      <w:r w:rsidR="001F6D44" w:rsidRPr="001F6D44">
        <w:rPr>
          <w:i/>
          <w:iCs/>
          <w:lang w:val="en-GB"/>
        </w:rPr>
        <w:t xml:space="preserve"> </w:t>
      </w:r>
      <w:proofErr w:type="spellStart"/>
      <w:r w:rsidR="001F6D44" w:rsidRPr="001F6D44">
        <w:rPr>
          <w:i/>
          <w:iCs/>
          <w:lang w:val="en-GB"/>
        </w:rPr>
        <w:t>Europejskiej</w:t>
      </w:r>
      <w:proofErr w:type="spellEnd"/>
      <w:r w:rsidR="006F6AA8">
        <w:rPr>
          <w:lang w:val="en-GB"/>
        </w:rPr>
        <w:t>”</w:t>
      </w:r>
      <w:r>
        <w:rPr>
          <w:lang w:val="en-GB"/>
        </w:rPr>
        <w:t>)</w:t>
      </w:r>
      <w:r w:rsidR="006F6AA8">
        <w:rPr>
          <w:lang w:val="en-GB"/>
        </w:rPr>
        <w:t xml:space="preserve"> </w:t>
      </w:r>
      <w:proofErr w:type="spellStart"/>
      <w:r w:rsidR="006F6AA8">
        <w:rPr>
          <w:lang w:val="en-GB"/>
        </w:rPr>
        <w:t>finansowanego</w:t>
      </w:r>
      <w:proofErr w:type="spellEnd"/>
      <w:r>
        <w:rPr>
          <w:lang w:val="en-GB"/>
        </w:rPr>
        <w:t xml:space="preserve"> z Programu </w:t>
      </w:r>
      <w:proofErr w:type="spellStart"/>
      <w:r w:rsidR="006F6AA8">
        <w:rPr>
          <w:lang w:val="en-GB"/>
        </w:rPr>
        <w:t>Unii</w:t>
      </w:r>
      <w:proofErr w:type="spellEnd"/>
      <w:r w:rsidR="006F6AA8">
        <w:rPr>
          <w:lang w:val="en-GB"/>
        </w:rPr>
        <w:t xml:space="preserve"> </w:t>
      </w:r>
      <w:proofErr w:type="spellStart"/>
      <w:r w:rsidR="006F6AA8">
        <w:rPr>
          <w:lang w:val="en-GB"/>
        </w:rPr>
        <w:t>Europejskiej</w:t>
      </w:r>
      <w:proofErr w:type="spellEnd"/>
      <w:r w:rsidR="006F6AA8">
        <w:rPr>
          <w:lang w:val="en-GB"/>
        </w:rPr>
        <w:t xml:space="preserve"> </w:t>
      </w:r>
      <w:proofErr w:type="spellStart"/>
      <w:r>
        <w:rPr>
          <w:lang w:val="en-GB"/>
        </w:rPr>
        <w:t>Hercule</w:t>
      </w:r>
      <w:proofErr w:type="spellEnd"/>
      <w:r>
        <w:rPr>
          <w:lang w:val="en-GB"/>
        </w:rPr>
        <w:t xml:space="preserve"> III</w:t>
      </w:r>
      <w:bookmarkEnd w:id="2"/>
      <w:r w:rsidR="006F6AA8">
        <w:rPr>
          <w:lang w:val="en-GB"/>
        </w:rPr>
        <w:t>.</w:t>
      </w:r>
    </w:p>
    <w:p w14:paraId="35079C22" w14:textId="77777777"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t>INFORMACJE OGÓLNE</w:t>
      </w:r>
    </w:p>
    <w:p w14:paraId="25AC25BE" w14:textId="58FFFF40"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5ABE9A96" w14:textId="48CE452E" w:rsidR="0083283D" w:rsidRPr="0083283D" w:rsidRDefault="0083283D" w:rsidP="006B1B74">
      <w:pPr>
        <w:pStyle w:val="Akapitzlist"/>
        <w:numPr>
          <w:ilvl w:val="0"/>
          <w:numId w:val="2"/>
        </w:numPr>
        <w:autoSpaceDE w:val="0"/>
        <w:autoSpaceDN w:val="0"/>
        <w:adjustRightInd w:val="0"/>
        <w:ind w:left="425" w:hanging="425"/>
        <w:contextualSpacing w:val="0"/>
        <w:jc w:val="both"/>
      </w:pPr>
      <w:r w:rsidRPr="0083283D">
        <w:rPr>
          <w:rStyle w:val="Hipercze"/>
          <w:color w:val="auto"/>
          <w:u w:val="none"/>
        </w:rPr>
        <w:t xml:space="preserve">Zamawiający nie dokonuje podziału zamówienia na części </w:t>
      </w:r>
      <w:r>
        <w:rPr>
          <w:rStyle w:val="Hipercze"/>
          <w:color w:val="auto"/>
          <w:u w:val="none"/>
        </w:rPr>
        <w:t>z uwagi na zakup jednej sztuki pojazdu, którego wyposażenie stanowi integralną część.</w:t>
      </w:r>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77777777" w:rsidR="00997A60" w:rsidRDefault="00FC1EE8" w:rsidP="006B1B74">
      <w:pPr>
        <w:pStyle w:val="Akapitzlist"/>
        <w:numPr>
          <w:ilvl w:val="0"/>
          <w:numId w:val="3"/>
        </w:numPr>
        <w:ind w:left="425" w:hanging="425"/>
        <w:contextualSpacing w:val="0"/>
        <w:jc w:val="both"/>
      </w:pPr>
      <w:r>
        <w:rPr>
          <w:rFonts w:eastAsia="CIDFont+F1"/>
        </w:rPr>
        <w:t xml:space="preserve">Zamawiający nie dopuszcza możliwości składania </w:t>
      </w:r>
      <w:r>
        <w:t>ofert częściowych.</w:t>
      </w:r>
    </w:p>
    <w:p w14:paraId="3668F7E5" w14:textId="77777777" w:rsidR="00997A60" w:rsidRDefault="00FC1EE8" w:rsidP="006B1B74">
      <w:pPr>
        <w:pStyle w:val="Akapitzlist"/>
        <w:numPr>
          <w:ilvl w:val="0"/>
          <w:numId w:val="3"/>
        </w:numPr>
        <w:ind w:left="425" w:hanging="425"/>
        <w:contextualSpacing w:val="0"/>
        <w:jc w:val="both"/>
      </w:pPr>
      <w:r>
        <w:t>Zamawiający nie przewiduje wizji lokalnej.</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4D21028A" w:rsidR="00997A60" w:rsidRPr="00AD21CE" w:rsidRDefault="00AA126E" w:rsidP="006B1B74">
      <w:pPr>
        <w:pStyle w:val="Akapitzlist"/>
        <w:ind w:left="426"/>
        <w:contextualSpacing w:val="0"/>
        <w:jc w:val="both"/>
      </w:pPr>
      <w:r>
        <w:t>34114000-9</w:t>
      </w:r>
      <w:r w:rsidR="00FC1EE8" w:rsidRPr="002C3322">
        <w:t xml:space="preserve"> – </w:t>
      </w:r>
      <w:r>
        <w:t>pojazdy specjalne</w:t>
      </w:r>
      <w:r w:rsidR="00FC1EE8" w:rsidRPr="002C3322">
        <w:t>, 50117100</w:t>
      </w:r>
      <w:r w:rsidR="00A5008A" w:rsidRPr="002C3322">
        <w:t xml:space="preserve"> – </w:t>
      </w:r>
      <w:r w:rsidR="00FC1EE8" w:rsidRPr="002C3322">
        <w:t xml:space="preserve">Usługi w zakresie zmiany przeznaczenia użytkowego pojazdów mechanicznych, </w:t>
      </w:r>
      <w:r w:rsidR="00FC1EE8" w:rsidRPr="002C3322">
        <w:rPr>
          <w:shd w:val="clear" w:color="auto" w:fill="FFFFFF"/>
        </w:rPr>
        <w:t>35200000-6</w:t>
      </w:r>
      <w:r w:rsidR="00A5008A" w:rsidRPr="002C3322">
        <w:rPr>
          <w:shd w:val="clear" w:color="auto" w:fill="FFFFFF"/>
        </w:rPr>
        <w:t xml:space="preserve"> – </w:t>
      </w:r>
      <w:r>
        <w:rPr>
          <w:shd w:val="clear" w:color="auto" w:fill="FFFFFF"/>
        </w:rPr>
        <w:t>Sprzęt policyjny</w:t>
      </w:r>
      <w:r w:rsidR="00FC1EE8" w:rsidRPr="002C3322">
        <w:t>, 31400000-0</w:t>
      </w:r>
      <w:r w:rsidR="00A5008A" w:rsidRPr="002C3322">
        <w:t xml:space="preserve"> – </w:t>
      </w:r>
      <w:r w:rsidR="00FC1EE8" w:rsidRPr="002C3322">
        <w:t>Akumulatory, komory galwaniczne i baterie galwaniczne, 31611000-2</w:t>
      </w:r>
      <w:r w:rsidR="00A5008A" w:rsidRPr="002C3322">
        <w:t xml:space="preserve"> – </w:t>
      </w:r>
      <w:r w:rsidR="00FC1EE8" w:rsidRPr="002C3322">
        <w:t>Zestawy instalacji elektrycznej</w:t>
      </w: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2271E625" w14:textId="0D524C4F" w:rsidR="00997A60" w:rsidRPr="001856F5" w:rsidRDefault="00FC1EE8" w:rsidP="006B1B74">
      <w:pPr>
        <w:pStyle w:val="Akapitzlist"/>
        <w:widowControl w:val="0"/>
        <w:numPr>
          <w:ilvl w:val="0"/>
          <w:numId w:val="5"/>
        </w:numPr>
        <w:suppressAutoHyphens/>
        <w:ind w:left="714" w:hanging="288"/>
        <w:contextualSpacing w:val="0"/>
        <w:jc w:val="both"/>
        <w:rPr>
          <w:rFonts w:eastAsia="Times New Roman"/>
          <w:b/>
          <w:bCs/>
          <w:lang w:eastAsia="ar-SA"/>
        </w:rPr>
      </w:pPr>
      <w:r>
        <w:t xml:space="preserve">dostawę samochodu osobowego typu furgon wraz z zabudową biurową, </w:t>
      </w:r>
      <w:r w:rsidR="00AA126E">
        <w:rPr>
          <w:rFonts w:eastAsia="Times New Roman"/>
          <w:color w:val="000000"/>
        </w:rPr>
        <w:t xml:space="preserve">oraz </w:t>
      </w:r>
      <w:r w:rsidR="00AA126E">
        <w:rPr>
          <w:rFonts w:eastAsia="Times New Roman"/>
          <w:color w:val="000000"/>
        </w:rPr>
        <w:lastRenderedPageBreak/>
        <w:t>wyposażeniem</w:t>
      </w:r>
      <w:r>
        <w:rPr>
          <w:rFonts w:eastAsia="Times New Roman"/>
          <w:color w:val="000000"/>
        </w:rPr>
        <w:t xml:space="preserve">, szczegółowo opisanego w </w:t>
      </w:r>
      <w:r w:rsidRPr="001856F5">
        <w:rPr>
          <w:rFonts w:eastAsia="Times New Roman"/>
          <w:b/>
          <w:color w:val="000000"/>
        </w:rPr>
        <w:t>Szczegółowym</w:t>
      </w:r>
      <w:r>
        <w:rPr>
          <w:rFonts w:eastAsia="Times New Roman"/>
          <w:color w:val="000000"/>
        </w:rPr>
        <w:t xml:space="preserve"> </w:t>
      </w:r>
      <w:r w:rsidRPr="001856F5">
        <w:rPr>
          <w:rFonts w:eastAsia="Times New Roman"/>
          <w:b/>
          <w:color w:val="000000"/>
        </w:rPr>
        <w:t xml:space="preserve">opisie przedmiotu zamówienia, stanowiącym Załącznik nr </w:t>
      </w:r>
      <w:r w:rsidR="00E0654C" w:rsidRPr="001856F5">
        <w:rPr>
          <w:rFonts w:eastAsia="Times New Roman"/>
          <w:b/>
          <w:color w:val="000000"/>
        </w:rPr>
        <w:t>1</w:t>
      </w:r>
      <w:r w:rsidRPr="001856F5">
        <w:rPr>
          <w:rFonts w:eastAsia="Times New Roman"/>
          <w:b/>
          <w:color w:val="000000"/>
        </w:rPr>
        <w:t xml:space="preserve"> do SWZ, </w:t>
      </w:r>
    </w:p>
    <w:p w14:paraId="0696DD8E" w14:textId="07400FEC" w:rsidR="00997A60" w:rsidRPr="00C4422C"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3" w:name="_Hlk74307385"/>
      <w:r w:rsidRPr="001856F5">
        <w:rPr>
          <w:rFonts w:eastAsia="Times New Roman"/>
          <w:b/>
          <w:bCs/>
          <w:lang w:eastAsia="ar-SA"/>
        </w:rPr>
        <w:t xml:space="preserve">Wzorze umowy, stanowiącym Załącznik nr </w:t>
      </w:r>
      <w:r w:rsidR="00C4422C" w:rsidRPr="001856F5">
        <w:rPr>
          <w:rFonts w:eastAsia="Times New Roman"/>
          <w:b/>
          <w:bCs/>
          <w:lang w:eastAsia="ar-SA"/>
        </w:rPr>
        <w:t>6</w:t>
      </w:r>
      <w:r w:rsidR="0021782E" w:rsidRPr="001856F5">
        <w:rPr>
          <w:rFonts w:eastAsia="Times New Roman"/>
          <w:b/>
          <w:bCs/>
          <w:lang w:eastAsia="ar-SA"/>
        </w:rPr>
        <w:t xml:space="preserve"> </w:t>
      </w:r>
      <w:r w:rsidRPr="001856F5">
        <w:rPr>
          <w:rFonts w:eastAsia="Times New Roman"/>
          <w:b/>
          <w:bCs/>
          <w:lang w:eastAsia="ar-SA"/>
        </w:rPr>
        <w:t>do SWZ</w:t>
      </w:r>
      <w:r w:rsidRPr="00C4422C">
        <w:rPr>
          <w:rFonts w:eastAsia="Times New Roman"/>
          <w:bCs/>
          <w:lang w:eastAsia="ar-SA"/>
        </w:rPr>
        <w:t xml:space="preserve">, </w:t>
      </w:r>
    </w:p>
    <w:bookmarkEnd w:id="3"/>
    <w:p w14:paraId="0D156135" w14:textId="6E91B588" w:rsidR="00997A60" w:rsidRPr="0021782E" w:rsidRDefault="00FC1EE8" w:rsidP="006B1B74">
      <w:pPr>
        <w:pStyle w:val="Akapitzlist"/>
        <w:widowControl w:val="0"/>
        <w:numPr>
          <w:ilvl w:val="0"/>
          <w:numId w:val="4"/>
        </w:numPr>
        <w:suppressAutoHyphens/>
        <w:ind w:left="426" w:hanging="426"/>
        <w:contextualSpacing w:val="0"/>
        <w:jc w:val="both"/>
        <w:rPr>
          <w:rFonts w:eastAsia="Times New Roman"/>
          <w:bCs/>
          <w:lang w:eastAsia="ar-SA"/>
        </w:rPr>
      </w:pPr>
      <w:r w:rsidRPr="00071333">
        <w:t xml:space="preserve">Pojazd musi być fabrycznie nowy </w:t>
      </w:r>
      <w:bookmarkStart w:id="4" w:name="_Hlk75601229"/>
      <w:r w:rsidRPr="00071333">
        <w:t>(</w:t>
      </w:r>
      <w:r w:rsidR="00E0654C" w:rsidRPr="00071333">
        <w:t>rok</w:t>
      </w:r>
      <w:r w:rsidRPr="00071333">
        <w:t xml:space="preserve"> produkcji </w:t>
      </w:r>
      <w:r w:rsidR="001856F5" w:rsidRPr="00071333">
        <w:t xml:space="preserve">nie wcześniejszy niż </w:t>
      </w:r>
      <w:r w:rsidR="00FB2D1A" w:rsidRPr="00071333">
        <w:t>2021)</w:t>
      </w:r>
      <w:r w:rsidR="00CC1DF5" w:rsidRPr="00071333">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4"/>
    </w:p>
    <w:p w14:paraId="55856819" w14:textId="11CF78D8" w:rsidR="00997A60" w:rsidRPr="0021782E" w:rsidRDefault="00B302EF" w:rsidP="006B1B74">
      <w:pPr>
        <w:pStyle w:val="Akapitzlist"/>
        <w:numPr>
          <w:ilvl w:val="0"/>
          <w:numId w:val="4"/>
        </w:numPr>
        <w:autoSpaceDE w:val="0"/>
        <w:autoSpaceDN w:val="0"/>
        <w:adjustRightInd w:val="0"/>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79F767F6" w14:textId="2568CFCF" w:rsidR="00997A60" w:rsidRDefault="00FC1EE8" w:rsidP="006B1B74">
      <w:pPr>
        <w:pStyle w:val="Akapitzlist"/>
        <w:numPr>
          <w:ilvl w:val="0"/>
          <w:numId w:val="4"/>
        </w:numPr>
        <w:autoSpaceDE w:val="0"/>
        <w:autoSpaceDN w:val="0"/>
        <w:adjustRightInd w:val="0"/>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6B1B74">
      <w:pPr>
        <w:pStyle w:val="Akapitzlist"/>
        <w:numPr>
          <w:ilvl w:val="3"/>
          <w:numId w:val="5"/>
        </w:numPr>
        <w:autoSpaceDE w:val="0"/>
        <w:autoSpaceDN w:val="0"/>
        <w:adjustRightInd w:val="0"/>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6B1B74">
      <w:pPr>
        <w:pStyle w:val="Akapitzlist"/>
        <w:numPr>
          <w:ilvl w:val="0"/>
          <w:numId w:val="6"/>
        </w:numPr>
        <w:autoSpaceDE w:val="0"/>
        <w:autoSpaceDN w:val="0"/>
        <w:adjustRightInd w:val="0"/>
        <w:ind w:hanging="294"/>
        <w:contextualSpacing w:val="0"/>
        <w:jc w:val="both"/>
      </w:pPr>
      <w:r w:rsidRPr="001856F5">
        <w:rPr>
          <w:b/>
        </w:rPr>
        <w:t>wykazu paramentów technicznych pojazdu bazowego, według wzoru stanowiącego Załącznik nr 2 do SWZ</w:t>
      </w:r>
      <w:r w:rsidRPr="00BC3749">
        <w:t xml:space="preserve">, </w:t>
      </w:r>
    </w:p>
    <w:p w14:paraId="4CAB0070" w14:textId="38356D7D" w:rsidR="00BC3749" w:rsidRPr="00BC3749" w:rsidRDefault="00BC3749" w:rsidP="006B1B74">
      <w:pPr>
        <w:pStyle w:val="Akapitzlist"/>
        <w:numPr>
          <w:ilvl w:val="0"/>
          <w:numId w:val="6"/>
        </w:numPr>
        <w:autoSpaceDE w:val="0"/>
        <w:autoSpaceDN w:val="0"/>
        <w:adjustRightInd w:val="0"/>
        <w:ind w:hanging="294"/>
        <w:contextualSpacing w:val="0"/>
        <w:jc w:val="both"/>
      </w:pPr>
      <w:r w:rsidRPr="001856F5">
        <w:rPr>
          <w:b/>
        </w:rPr>
        <w:t>świadectwa homologacji typu WE pojazdu bazowego</w:t>
      </w:r>
      <w:r w:rsidRPr="00BC3749">
        <w:t xml:space="preserve"> lub inn</w:t>
      </w:r>
      <w:r w:rsidR="00994F3A">
        <w:t>ego</w:t>
      </w:r>
      <w:r w:rsidRPr="00BC3749">
        <w:t xml:space="preserve"> dokument</w:t>
      </w:r>
      <w:r w:rsidR="00994F3A">
        <w:t>u</w:t>
      </w:r>
      <w:r w:rsidRPr="00BC3749">
        <w: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942C61">
        <w:t xml:space="preserve">. </w:t>
      </w:r>
    </w:p>
    <w:p w14:paraId="5E16F76D" w14:textId="7BD4805D" w:rsidR="00A771AB" w:rsidRDefault="00A771AB" w:rsidP="006B1B74">
      <w:pPr>
        <w:pStyle w:val="Akapitzlist"/>
        <w:numPr>
          <w:ilvl w:val="0"/>
          <w:numId w:val="7"/>
        </w:numPr>
        <w:shd w:val="clear" w:color="auto" w:fill="FFFFFF"/>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6B1B74">
      <w:pPr>
        <w:pStyle w:val="Akapitzlist"/>
        <w:numPr>
          <w:ilvl w:val="0"/>
          <w:numId w:val="7"/>
        </w:numPr>
        <w:shd w:val="clear" w:color="auto" w:fill="FFFFFF"/>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C646302" w14:textId="6847CCCD" w:rsidR="00997A60" w:rsidRPr="00684EB5" w:rsidRDefault="00FC1EE8" w:rsidP="00684EB5">
      <w:pPr>
        <w:pStyle w:val="Akapitzlist"/>
        <w:numPr>
          <w:ilvl w:val="0"/>
          <w:numId w:val="7"/>
        </w:numPr>
        <w:shd w:val="clear" w:color="auto" w:fill="FFFFFF"/>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lastRenderedPageBreak/>
        <w:t>TERMIN WYKONANIA ZAMÓWIENIA</w:t>
      </w:r>
    </w:p>
    <w:p w14:paraId="143FFE3D" w14:textId="260DF454"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00363B82">
        <w:rPr>
          <w:rFonts w:eastAsia="Times New Roman"/>
          <w:b/>
          <w:bCs/>
        </w:rPr>
        <w:t>do 22.12.2022r.</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9E9D50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Pr>
          <w:rFonts w:eastAsia="Times New Roman"/>
        </w:rPr>
        <w:lastRenderedPageBreak/>
        <w:t>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Pr="004F2409" w:rsidRDefault="00FC1EE8" w:rsidP="004F2409">
      <w:pPr>
        <w:pStyle w:val="pkt"/>
        <w:numPr>
          <w:ilvl w:val="0"/>
          <w:numId w:val="8"/>
        </w:numPr>
        <w:spacing w:before="0" w:after="0"/>
        <w:rPr>
          <w:b/>
          <w:szCs w:val="24"/>
        </w:rPr>
      </w:pPr>
      <w:r w:rsidRPr="004F2409">
        <w:rPr>
          <w:b/>
          <w:bCs/>
          <w:szCs w:val="24"/>
        </w:rPr>
        <w:t>Zamawiający wykluczy z postępowania wykonawcę, wobec którego zachodzą podstawy wykluczenia, o których mowa w art. 109 ust. 1 pkt 1</w:t>
      </w:r>
      <w:r w:rsidR="0065305D" w:rsidRPr="004F2409">
        <w:rPr>
          <w:b/>
          <w:bCs/>
          <w:szCs w:val="24"/>
        </w:rPr>
        <w:t xml:space="preserve"> lub</w:t>
      </w:r>
      <w:r w:rsidRPr="004F2409">
        <w:rPr>
          <w:b/>
          <w:bCs/>
          <w:szCs w:val="24"/>
        </w:rPr>
        <w:t xml:space="preserve"> 4 </w:t>
      </w:r>
      <w:proofErr w:type="spellStart"/>
      <w:r w:rsidRPr="004F2409">
        <w:rPr>
          <w:b/>
          <w:bCs/>
          <w:szCs w:val="24"/>
        </w:rPr>
        <w:t>p.z.p</w:t>
      </w:r>
      <w:proofErr w:type="spellEnd"/>
      <w:r w:rsidRPr="004F2409">
        <w:rPr>
          <w:b/>
          <w:bCs/>
          <w:szCs w:val="24"/>
        </w:rPr>
        <w:t>., tj. Zamawiający wykluczy wykonawcę:</w:t>
      </w:r>
    </w:p>
    <w:p w14:paraId="1946BA24" w14:textId="77777777" w:rsidR="00997A60" w:rsidRDefault="00FC1EE8" w:rsidP="004F2409">
      <w:pPr>
        <w:pStyle w:val="pkt"/>
        <w:numPr>
          <w:ilvl w:val="1"/>
          <w:numId w:val="11"/>
        </w:numPr>
        <w:spacing w:before="0" w:after="0"/>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4F2409">
      <w:pPr>
        <w:pStyle w:val="pkt"/>
        <w:numPr>
          <w:ilvl w:val="1"/>
          <w:numId w:val="11"/>
        </w:numPr>
        <w:spacing w:before="0" w:after="0"/>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4F2409">
      <w:pPr>
        <w:pStyle w:val="pkt"/>
        <w:numPr>
          <w:ilvl w:val="0"/>
          <w:numId w:val="12"/>
        </w:numPr>
        <w:spacing w:before="0" w:after="0"/>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4F2409">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A4826CF" w14:textId="00315600" w:rsidR="00997A60" w:rsidRDefault="00FC1EE8" w:rsidP="004F2409">
      <w:pPr>
        <w:pStyle w:val="pkt"/>
        <w:numPr>
          <w:ilvl w:val="0"/>
          <w:numId w:val="12"/>
        </w:numPr>
        <w:spacing w:before="0" w:after="0"/>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037713">
      <w:pPr>
        <w:pStyle w:val="Akapitzlist"/>
        <w:numPr>
          <w:ilvl w:val="0"/>
          <w:numId w:val="25"/>
        </w:numPr>
        <w:spacing w:line="312" w:lineRule="auto"/>
        <w:ind w:left="426" w:hanging="568"/>
        <w:contextualSpacing w:val="0"/>
        <w:jc w:val="both"/>
        <w:rPr>
          <w:b/>
        </w:rPr>
      </w:pPr>
      <w:r w:rsidRPr="00941A46">
        <w:rPr>
          <w:b/>
        </w:rPr>
        <w:t>WARUNKI UDZIAŁU W POSTĘPOWANIU</w:t>
      </w:r>
    </w:p>
    <w:p w14:paraId="57110056" w14:textId="1F13737A" w:rsidR="00997A60" w:rsidRPr="00E736BD" w:rsidRDefault="001856F5" w:rsidP="00E736BD">
      <w:pPr>
        <w:pStyle w:val="pkt"/>
        <w:spacing w:before="0" w:after="0" w:line="312" w:lineRule="auto"/>
        <w:ind w:left="426" w:hanging="426"/>
        <w:rPr>
          <w:szCs w:val="24"/>
        </w:rPr>
      </w:pPr>
      <w:r>
        <w:rPr>
          <w:szCs w:val="24"/>
        </w:rPr>
        <w:t>Zamawiający nie stawia warunków</w:t>
      </w:r>
      <w:r w:rsidR="00FC1EE8" w:rsidRPr="00E736BD">
        <w:rPr>
          <w:szCs w:val="24"/>
        </w:rPr>
        <w:t xml:space="preserve"> </w:t>
      </w:r>
      <w:r w:rsidR="00E736BD" w:rsidRPr="00E736BD">
        <w:rPr>
          <w:szCs w:val="24"/>
        </w:rPr>
        <w:t xml:space="preserve">udziału w postępowaniu. </w:t>
      </w:r>
    </w:p>
    <w:p w14:paraId="672E92FD" w14:textId="188E1156" w:rsidR="00997A60" w:rsidRDefault="00997A60" w:rsidP="0089522F">
      <w:pPr>
        <w:autoSpaceDE w:val="0"/>
        <w:autoSpaceDN w:val="0"/>
        <w:adjustRightInd w:val="0"/>
        <w:spacing w:after="0" w:line="312" w:lineRule="auto"/>
        <w:jc w:val="both"/>
      </w:pPr>
    </w:p>
    <w:p w14:paraId="1D3BCCA3" w14:textId="37A9E08D" w:rsidR="004A2A04" w:rsidRDefault="004A2A04" w:rsidP="0089522F">
      <w:pPr>
        <w:autoSpaceDE w:val="0"/>
        <w:autoSpaceDN w:val="0"/>
        <w:adjustRightInd w:val="0"/>
        <w:spacing w:after="0" w:line="312" w:lineRule="auto"/>
        <w:jc w:val="both"/>
      </w:pPr>
    </w:p>
    <w:p w14:paraId="0B1865DB" w14:textId="77777777" w:rsidR="004A2A04" w:rsidRDefault="004A2A04"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lastRenderedPageBreak/>
        <w:t>WSPÓLNE UBIEGANIE SIĘ O UDZIELENIE ZAMÓWIENIA</w:t>
      </w:r>
    </w:p>
    <w:p w14:paraId="759D9123" w14:textId="77777777" w:rsidR="006F5DB1" w:rsidRDefault="006F5DB1" w:rsidP="004F2409">
      <w:pPr>
        <w:pStyle w:val="pkt"/>
        <w:numPr>
          <w:ilvl w:val="3"/>
          <w:numId w:val="25"/>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4F2409">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w:t>
      </w:r>
      <w:r w:rsidRPr="002C1A6E">
        <w:lastRenderedPageBreak/>
        <w:t xml:space="preserve">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4F2409">
      <w:pPr>
        <w:pStyle w:val="Akapitzlist"/>
        <w:numPr>
          <w:ilvl w:val="1"/>
          <w:numId w:val="26"/>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4F2409">
      <w:pPr>
        <w:pStyle w:val="Akapitzlist"/>
        <w:numPr>
          <w:ilvl w:val="1"/>
          <w:numId w:val="26"/>
        </w:numPr>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5" w:name="_Hlk72784397"/>
      <w:r w:rsidRPr="002C1A6E">
        <w:t>Dz. U. z 2021 r. poz. 275</w:t>
      </w:r>
      <w:bookmarkEnd w:id="5"/>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4F2409">
      <w:pPr>
        <w:pStyle w:val="Akapitzlist"/>
        <w:numPr>
          <w:ilvl w:val="1"/>
          <w:numId w:val="26"/>
        </w:numPr>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4F2409">
      <w:pPr>
        <w:pStyle w:val="Akapitzlist"/>
        <w:numPr>
          <w:ilvl w:val="1"/>
          <w:numId w:val="26"/>
        </w:numPr>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4F2409">
      <w:pPr>
        <w:pStyle w:val="Akapitzlist"/>
        <w:numPr>
          <w:ilvl w:val="1"/>
          <w:numId w:val="26"/>
        </w:numPr>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4F2409">
      <w:pPr>
        <w:pStyle w:val="Akapitzlist"/>
        <w:numPr>
          <w:ilvl w:val="1"/>
          <w:numId w:val="26"/>
        </w:numPr>
        <w:ind w:left="851" w:hanging="425"/>
        <w:contextualSpacing w:val="0"/>
        <w:jc w:val="both"/>
      </w:pPr>
      <w:bookmarkStart w:id="6" w:name="_Hlk75622678"/>
      <w:r>
        <w:t>oświadczenia wykonawcy o aktualności informacji zawartych w oświadczeniu</w:t>
      </w:r>
      <w:bookmarkEnd w:id="6"/>
      <w:r>
        <w:t xml:space="preserve"> JEDZ, </w:t>
      </w:r>
      <w:bookmarkStart w:id="7" w:name="_Hlk75623044"/>
      <w:r>
        <w:t>w zakresie następujących podstaw wykluczenia z postępowania określonych w:</w:t>
      </w:r>
    </w:p>
    <w:p w14:paraId="2EA2BC46" w14:textId="77777777" w:rsidR="006B26D3" w:rsidRDefault="006B26D3" w:rsidP="004F2409">
      <w:pPr>
        <w:pStyle w:val="Akapitzlist"/>
        <w:numPr>
          <w:ilvl w:val="0"/>
          <w:numId w:val="27"/>
        </w:numPr>
        <w:ind w:left="1134" w:hanging="284"/>
        <w:jc w:val="both"/>
      </w:pPr>
      <w:r>
        <w:t xml:space="preserve">art. 108 ust. 1 pkt 3 </w:t>
      </w:r>
      <w:proofErr w:type="spellStart"/>
      <w:r>
        <w:t>p.z.p</w:t>
      </w:r>
      <w:proofErr w:type="spellEnd"/>
      <w:r>
        <w:t>.,</w:t>
      </w:r>
    </w:p>
    <w:p w14:paraId="0C9CC07D" w14:textId="77777777" w:rsidR="006B26D3" w:rsidRDefault="006B26D3" w:rsidP="004F2409">
      <w:pPr>
        <w:pStyle w:val="Akapitzlist"/>
        <w:numPr>
          <w:ilvl w:val="0"/>
          <w:numId w:val="27"/>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4F2409">
      <w:pPr>
        <w:pStyle w:val="Akapitzlist"/>
        <w:numPr>
          <w:ilvl w:val="0"/>
          <w:numId w:val="27"/>
        </w:numPr>
        <w:ind w:left="1134" w:hanging="284"/>
        <w:jc w:val="both"/>
      </w:pPr>
      <w:r w:rsidRPr="006B26D3">
        <w:lastRenderedPageBreak/>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4F2409">
      <w:pPr>
        <w:pStyle w:val="Akapitzlist"/>
        <w:numPr>
          <w:ilvl w:val="0"/>
          <w:numId w:val="27"/>
        </w:numPr>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4F2409">
      <w:pPr>
        <w:pStyle w:val="Akapitzlist"/>
        <w:numPr>
          <w:ilvl w:val="0"/>
          <w:numId w:val="27"/>
        </w:numPr>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7"/>
    <w:p w14:paraId="6EFA4F31" w14:textId="6D45A3C8" w:rsidR="00C4422C" w:rsidRPr="0023621B" w:rsidRDefault="00C4422C" w:rsidP="004F2409">
      <w:pPr>
        <w:spacing w:after="0" w:line="240" w:lineRule="auto"/>
        <w:ind w:left="850"/>
        <w:jc w:val="both"/>
      </w:pPr>
      <w:r w:rsidRPr="0023621B">
        <w:t xml:space="preserve">- wzór oświadczenia stanowi Załącznik nr 5 do SWZ. </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8" w:name="_Hlk74918880"/>
      <w:r w:rsidRPr="0023621B">
        <w:t xml:space="preserve">ust. </w:t>
      </w:r>
      <w:r w:rsidR="0023621B">
        <w:t>7</w:t>
      </w:r>
      <w:r w:rsidRPr="0023621B">
        <w:t xml:space="preserve"> pkt </w:t>
      </w:r>
      <w:r w:rsidR="0023621B" w:rsidRPr="0023621B">
        <w:t>1</w:t>
      </w:r>
      <w:r w:rsidRPr="0023621B">
        <w:t xml:space="preserve"> </w:t>
      </w:r>
      <w:bookmarkEnd w:id="8"/>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4F2409">
      <w:pPr>
        <w:pStyle w:val="Akapitzlist"/>
        <w:numPr>
          <w:ilvl w:val="0"/>
          <w:numId w:val="15"/>
        </w:numPr>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4F2409">
      <w:pPr>
        <w:pStyle w:val="Akapitzlist"/>
        <w:numPr>
          <w:ilvl w:val="0"/>
          <w:numId w:val="28"/>
        </w:numPr>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4F2409">
      <w:pPr>
        <w:pStyle w:val="Akapitzlist"/>
        <w:numPr>
          <w:ilvl w:val="0"/>
          <w:numId w:val="28"/>
        </w:numPr>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4F2409">
      <w:pPr>
        <w:spacing w:after="0" w:line="240"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lastRenderedPageBreak/>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4F2409">
      <w:pPr>
        <w:pStyle w:val="pkt"/>
        <w:numPr>
          <w:ilvl w:val="0"/>
          <w:numId w:val="13"/>
        </w:numPr>
        <w:spacing w:before="0" w:after="0"/>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EE25E4">
      <w:pPr>
        <w:pStyle w:val="Akapitzlist"/>
        <w:numPr>
          <w:ilvl w:val="0"/>
          <w:numId w:val="25"/>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lastRenderedPageBreak/>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EE25E4">
      <w:pPr>
        <w:pStyle w:val="Akapitzlist"/>
        <w:numPr>
          <w:ilvl w:val="0"/>
          <w:numId w:val="29"/>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EE25E4">
      <w:pPr>
        <w:pStyle w:val="Akapitzlist"/>
        <w:numPr>
          <w:ilvl w:val="0"/>
          <w:numId w:val="29"/>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EE25E4">
      <w:pPr>
        <w:pStyle w:val="Akapitzlist"/>
        <w:numPr>
          <w:ilvl w:val="0"/>
          <w:numId w:val="29"/>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EE25E4">
      <w:pPr>
        <w:pStyle w:val="Akapitzlist"/>
        <w:numPr>
          <w:ilvl w:val="0"/>
          <w:numId w:val="29"/>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EE25E4">
      <w:pPr>
        <w:pStyle w:val="Akapitzlist"/>
        <w:numPr>
          <w:ilvl w:val="0"/>
          <w:numId w:val="29"/>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EE25E4">
      <w:pPr>
        <w:pStyle w:val="Akapitzlist"/>
        <w:numPr>
          <w:ilvl w:val="1"/>
          <w:numId w:val="27"/>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EE25E4">
      <w:pPr>
        <w:pStyle w:val="Akapitzlist"/>
        <w:numPr>
          <w:ilvl w:val="1"/>
          <w:numId w:val="27"/>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417A62A0" w:rsidR="004C4E57" w:rsidRPr="003D54FD" w:rsidRDefault="00FC1EE8" w:rsidP="00EE25E4">
      <w:pPr>
        <w:numPr>
          <w:ilvl w:val="0"/>
          <w:numId w:val="17"/>
        </w:numPr>
        <w:tabs>
          <w:tab w:val="clear" w:pos="312"/>
          <w:tab w:val="left" w:pos="709"/>
        </w:tabs>
        <w:spacing w:after="0" w:line="240" w:lineRule="auto"/>
        <w:ind w:left="709" w:hanging="283"/>
        <w:jc w:val="both"/>
      </w:pPr>
      <w:r w:rsidRPr="003D54FD">
        <w:lastRenderedPageBreak/>
        <w:t>Anna Gołko tel. 47 711 3137,</w:t>
      </w:r>
      <w:r w:rsidR="006E4733" w:rsidRPr="003D54FD">
        <w:t xml:space="preserve"> </w:t>
      </w:r>
      <w:r w:rsidR="004C7194">
        <w:t>Urszula Stepaniuk</w:t>
      </w:r>
      <w:r w:rsidR="006E4733" w:rsidRPr="003D54FD">
        <w:t xml:space="preserve"> tel. 47 711 </w:t>
      </w:r>
      <w:r w:rsidR="004C7194">
        <w:t>3147</w:t>
      </w:r>
      <w:r w:rsidR="006E4733" w:rsidRPr="003D54FD">
        <w:t xml:space="preserve"> </w:t>
      </w:r>
      <w:r w:rsidRPr="003D54FD">
        <w:t>– w sprawie procedury udzielania zamówień publicznych,</w:t>
      </w:r>
    </w:p>
    <w:p w14:paraId="451EBB69" w14:textId="6CE79363" w:rsidR="00997A60" w:rsidRPr="003D54FD" w:rsidRDefault="00C2215B" w:rsidP="00EE25E4">
      <w:pPr>
        <w:numPr>
          <w:ilvl w:val="0"/>
          <w:numId w:val="17"/>
        </w:numPr>
        <w:tabs>
          <w:tab w:val="clear" w:pos="312"/>
          <w:tab w:val="left" w:pos="709"/>
        </w:tabs>
        <w:spacing w:after="0" w:line="240"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AD1C27">
      <w:pPr>
        <w:pStyle w:val="Akapitzlist"/>
        <w:numPr>
          <w:ilvl w:val="0"/>
          <w:numId w:val="25"/>
        </w:numPr>
        <w:spacing w:line="312" w:lineRule="auto"/>
        <w:ind w:left="284" w:hanging="426"/>
        <w:jc w:val="both"/>
        <w:rPr>
          <w:b/>
        </w:rPr>
      </w:pPr>
      <w:r w:rsidRPr="007576DD">
        <w:rPr>
          <w:b/>
        </w:rPr>
        <w:t>TERMIN ZWIĄZANIA OFERTĄ</w:t>
      </w:r>
    </w:p>
    <w:p w14:paraId="598FE1E5" w14:textId="7F83EE73" w:rsidR="00997A60" w:rsidRDefault="00FC1EE8" w:rsidP="00EE25E4">
      <w:pPr>
        <w:pStyle w:val="pkt"/>
        <w:numPr>
          <w:ilvl w:val="3"/>
          <w:numId w:val="30"/>
        </w:numPr>
        <w:spacing w:before="0" w:after="0"/>
        <w:ind w:left="425" w:hanging="425"/>
        <w:rPr>
          <w:szCs w:val="24"/>
        </w:rPr>
      </w:pPr>
      <w:r w:rsidRPr="007576DD">
        <w:rPr>
          <w:szCs w:val="24"/>
        </w:rPr>
        <w:t xml:space="preserve">Wykonawca będzie związany ofertą przez okres 90 dni, tj. </w:t>
      </w:r>
      <w:r w:rsidRPr="00EE55EC">
        <w:rPr>
          <w:szCs w:val="24"/>
        </w:rPr>
        <w:t xml:space="preserve">do dnia </w:t>
      </w:r>
      <w:r w:rsidR="005E7BF0">
        <w:rPr>
          <w:b/>
          <w:bCs/>
          <w:szCs w:val="24"/>
        </w:rPr>
        <w:t>20</w:t>
      </w:r>
      <w:r w:rsidR="004C7194" w:rsidRPr="004C7194">
        <w:rPr>
          <w:b/>
          <w:bCs/>
          <w:szCs w:val="24"/>
        </w:rPr>
        <w:t xml:space="preserve"> </w:t>
      </w:r>
      <w:r w:rsidR="005E7BF0">
        <w:rPr>
          <w:b/>
          <w:bCs/>
          <w:szCs w:val="24"/>
        </w:rPr>
        <w:t>lipca</w:t>
      </w:r>
      <w:r w:rsidR="0016001F" w:rsidRPr="004C7194">
        <w:rPr>
          <w:b/>
          <w:bCs/>
          <w:szCs w:val="24"/>
        </w:rPr>
        <w:t xml:space="preserve"> 2022</w:t>
      </w:r>
      <w:r w:rsidR="00E86F79" w:rsidRPr="004C7194">
        <w:rPr>
          <w:b/>
          <w:bCs/>
          <w:szCs w:val="24"/>
        </w:rPr>
        <w:t> </w:t>
      </w:r>
      <w:r w:rsidRPr="004C7194">
        <w:rPr>
          <w:b/>
          <w:bCs/>
          <w:szCs w:val="24"/>
        </w:rPr>
        <w:t>r.</w:t>
      </w:r>
      <w:r w:rsidRPr="004C7194">
        <w:rPr>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EE25E4">
      <w:pPr>
        <w:pStyle w:val="pkt"/>
        <w:numPr>
          <w:ilvl w:val="3"/>
          <w:numId w:val="30"/>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EE25E4">
      <w:pPr>
        <w:pStyle w:val="pkt"/>
        <w:numPr>
          <w:ilvl w:val="3"/>
          <w:numId w:val="30"/>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EE25E4">
      <w:pPr>
        <w:pStyle w:val="pkt"/>
        <w:numPr>
          <w:ilvl w:val="3"/>
          <w:numId w:val="30"/>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EE25E4">
      <w:pPr>
        <w:pStyle w:val="pkt"/>
        <w:numPr>
          <w:ilvl w:val="3"/>
          <w:numId w:val="30"/>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037713">
      <w:pPr>
        <w:pStyle w:val="Akapitzlist"/>
        <w:numPr>
          <w:ilvl w:val="0"/>
          <w:numId w:val="25"/>
        </w:numPr>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EE25E4">
      <w:pPr>
        <w:pStyle w:val="pkt"/>
        <w:numPr>
          <w:ilvl w:val="3"/>
          <w:numId w:val="31"/>
        </w:numPr>
        <w:spacing w:before="0" w:after="0"/>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D06B79" w:rsidRPr="00EE25E4">
        <w:rPr>
          <w:rFonts w:eastAsia="Times New Roman"/>
          <w:b/>
          <w:szCs w:val="24"/>
        </w:rPr>
        <w:t xml:space="preserve">3 </w:t>
      </w:r>
      <w:r w:rsidRPr="00EE25E4">
        <w:rPr>
          <w:rFonts w:eastAsia="Times New Roman"/>
          <w:b/>
          <w:szCs w:val="24"/>
        </w:rPr>
        <w:t xml:space="preserve">do SWZ. </w:t>
      </w:r>
    </w:p>
    <w:p w14:paraId="248F5837" w14:textId="77777777" w:rsidR="00D06B79" w:rsidRDefault="00FC1EE8" w:rsidP="00EE25E4">
      <w:pPr>
        <w:pStyle w:val="pkt"/>
        <w:numPr>
          <w:ilvl w:val="3"/>
          <w:numId w:val="31"/>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EE25E4">
      <w:pPr>
        <w:pStyle w:val="pkt"/>
        <w:numPr>
          <w:ilvl w:val="0"/>
          <w:numId w:val="32"/>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EE25E4">
      <w:pPr>
        <w:pStyle w:val="pkt"/>
        <w:numPr>
          <w:ilvl w:val="0"/>
          <w:numId w:val="32"/>
        </w:numPr>
        <w:spacing w:before="0" w:after="0"/>
        <w:ind w:left="709" w:hanging="283"/>
        <w:rPr>
          <w:rFonts w:eastAsia="Times New Roman"/>
          <w:szCs w:val="24"/>
        </w:rPr>
      </w:pPr>
      <w:r w:rsidRPr="00003AD0">
        <w:rPr>
          <w:rFonts w:eastAsia="Times New Roman"/>
          <w:szCs w:val="24"/>
        </w:rPr>
        <w:lastRenderedPageBreak/>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EE25E4">
      <w:pPr>
        <w:pStyle w:val="pkt"/>
        <w:numPr>
          <w:ilvl w:val="0"/>
          <w:numId w:val="32"/>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EE25E4">
      <w:pPr>
        <w:pStyle w:val="pkt"/>
        <w:numPr>
          <w:ilvl w:val="0"/>
          <w:numId w:val="32"/>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EE25E4">
      <w:pPr>
        <w:pStyle w:val="pkt"/>
        <w:numPr>
          <w:ilvl w:val="0"/>
          <w:numId w:val="32"/>
        </w:numPr>
        <w:spacing w:before="0" w:after="0"/>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EE25E4">
      <w:pPr>
        <w:pStyle w:val="pkt"/>
        <w:numPr>
          <w:ilvl w:val="3"/>
          <w:numId w:val="31"/>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EE25E4">
      <w:pPr>
        <w:pStyle w:val="pkt"/>
        <w:numPr>
          <w:ilvl w:val="3"/>
          <w:numId w:val="31"/>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EE25E4">
      <w:pPr>
        <w:pStyle w:val="pkt"/>
        <w:numPr>
          <w:ilvl w:val="3"/>
          <w:numId w:val="31"/>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EE25E4">
      <w:pPr>
        <w:pStyle w:val="pkt"/>
        <w:numPr>
          <w:ilvl w:val="3"/>
          <w:numId w:val="31"/>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EE25E4">
      <w:pPr>
        <w:pStyle w:val="pkt"/>
        <w:numPr>
          <w:ilvl w:val="3"/>
          <w:numId w:val="31"/>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7CA92C7E" w14:textId="112A73F8" w:rsidR="0016001F" w:rsidRDefault="0016001F" w:rsidP="0089522F">
      <w:pPr>
        <w:spacing w:after="0" w:line="312" w:lineRule="auto"/>
        <w:jc w:val="both"/>
      </w:pPr>
    </w:p>
    <w:p w14:paraId="3E347287" w14:textId="2C1AD857" w:rsidR="00997A60" w:rsidRPr="00941A46" w:rsidRDefault="00FC1EE8" w:rsidP="00AD1C27">
      <w:pPr>
        <w:pStyle w:val="Akapitzlist"/>
        <w:numPr>
          <w:ilvl w:val="0"/>
          <w:numId w:val="25"/>
        </w:numPr>
        <w:spacing w:line="312" w:lineRule="auto"/>
        <w:ind w:left="284" w:hanging="284"/>
        <w:jc w:val="both"/>
        <w:rPr>
          <w:b/>
        </w:rPr>
      </w:pPr>
      <w:r w:rsidRPr="00941A46">
        <w:rPr>
          <w:b/>
        </w:rPr>
        <w:t>SPOSÓB I TERMIN SKŁADANIA I OTWARCIA OFERT</w:t>
      </w:r>
    </w:p>
    <w:p w14:paraId="7D1A8001" w14:textId="55E6A3FF" w:rsidR="00997A60" w:rsidRDefault="00FC1EE8" w:rsidP="00EE25E4">
      <w:pPr>
        <w:pStyle w:val="pkt"/>
        <w:spacing w:before="0" w:after="0"/>
        <w:ind w:left="426" w:hanging="426"/>
        <w:rPr>
          <w:b/>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16001F">
        <w:rPr>
          <w:b/>
          <w:szCs w:val="24"/>
        </w:rPr>
        <w:t xml:space="preserve">do dnia </w:t>
      </w:r>
      <w:r w:rsidR="005E7BF0">
        <w:rPr>
          <w:b/>
          <w:szCs w:val="24"/>
        </w:rPr>
        <w:t>22</w:t>
      </w:r>
      <w:r w:rsidR="00363B82">
        <w:rPr>
          <w:b/>
          <w:szCs w:val="24"/>
        </w:rPr>
        <w:t>.04.</w:t>
      </w:r>
      <w:r w:rsidR="0016001F" w:rsidRPr="0016001F">
        <w:rPr>
          <w:b/>
          <w:szCs w:val="24"/>
        </w:rPr>
        <w:t>2022</w:t>
      </w:r>
      <w:r w:rsidRPr="0016001F">
        <w:rPr>
          <w:b/>
          <w:szCs w:val="24"/>
        </w:rPr>
        <w:t xml:space="preserve"> r. do godziny </w:t>
      </w:r>
      <w:r w:rsidR="004B26BC" w:rsidRPr="0016001F">
        <w:rPr>
          <w:b/>
          <w:szCs w:val="24"/>
        </w:rPr>
        <w:t>0</w:t>
      </w:r>
      <w:r w:rsidR="00AF4F26" w:rsidRPr="0016001F">
        <w:rPr>
          <w:b/>
          <w:szCs w:val="24"/>
        </w:rPr>
        <w:t>9:30.</w:t>
      </w:r>
    </w:p>
    <w:p w14:paraId="7CAD93D5" w14:textId="77777777" w:rsidR="00997A60" w:rsidRDefault="00FC1EE8" w:rsidP="00EE25E4">
      <w:pPr>
        <w:pStyle w:val="pkt"/>
        <w:spacing w:before="0" w:after="0"/>
        <w:ind w:left="426" w:hanging="426"/>
        <w:rPr>
          <w:b/>
          <w:szCs w:val="24"/>
        </w:rPr>
      </w:pPr>
      <w:r>
        <w:rPr>
          <w:szCs w:val="24"/>
        </w:rPr>
        <w:t>2.</w:t>
      </w:r>
      <w:r>
        <w:rPr>
          <w:b/>
          <w:szCs w:val="24"/>
        </w:rPr>
        <w:tab/>
      </w:r>
      <w:r>
        <w:rPr>
          <w:szCs w:val="24"/>
        </w:rPr>
        <w:t>O terminie złożenia oferty decyduje czas pełnego przeprocesowania transakcji na Platformie.</w:t>
      </w:r>
    </w:p>
    <w:p w14:paraId="2A0D3AC1" w14:textId="397DA502" w:rsidR="00997A60" w:rsidRDefault="00FC1EE8" w:rsidP="00EE25E4">
      <w:pPr>
        <w:pStyle w:val="pkt"/>
        <w:spacing w:before="0" w:after="0"/>
        <w:ind w:left="426" w:hanging="426"/>
        <w:rPr>
          <w:b/>
          <w:szCs w:val="24"/>
        </w:rPr>
      </w:pPr>
      <w:r>
        <w:rPr>
          <w:szCs w:val="24"/>
        </w:rPr>
        <w:t>3.</w:t>
      </w:r>
      <w:r>
        <w:rPr>
          <w:b/>
          <w:szCs w:val="24"/>
        </w:rPr>
        <w:tab/>
      </w:r>
      <w:r>
        <w:rPr>
          <w:szCs w:val="24"/>
        </w:rPr>
        <w:t xml:space="preserve">Otwarcie ofert nastąpi </w:t>
      </w:r>
      <w:r w:rsidRPr="00AF4F26">
        <w:rPr>
          <w:szCs w:val="24"/>
        </w:rPr>
        <w:t xml:space="preserve">w dniu </w:t>
      </w:r>
      <w:r w:rsidR="005E7BF0">
        <w:rPr>
          <w:b/>
          <w:szCs w:val="24"/>
        </w:rPr>
        <w:t>22</w:t>
      </w:r>
      <w:r w:rsidR="00154BD7">
        <w:rPr>
          <w:b/>
          <w:szCs w:val="24"/>
        </w:rPr>
        <w:t>.04.</w:t>
      </w:r>
      <w:r w:rsidR="0016001F" w:rsidRPr="0016001F">
        <w:rPr>
          <w:b/>
          <w:szCs w:val="24"/>
        </w:rPr>
        <w:t>2022</w:t>
      </w:r>
      <w:r w:rsidRPr="0016001F">
        <w:rPr>
          <w:b/>
          <w:szCs w:val="24"/>
        </w:rPr>
        <w:t xml:space="preserve"> r. o godzinie </w:t>
      </w:r>
      <w:r w:rsidR="00AF4F26" w:rsidRPr="0016001F">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lastRenderedPageBreak/>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EE25E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77777777"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proofErr w:type="spellStart"/>
      <w:r>
        <w:t>która</w:t>
      </w:r>
      <w:proofErr w:type="spellEnd"/>
      <w:r>
        <w:t xml:space="preserve"> spowoduje brak </w:t>
      </w:r>
      <w:proofErr w:type="spellStart"/>
      <w:r>
        <w:t>możliwości</w:t>
      </w:r>
      <w:proofErr w:type="spellEnd"/>
      <w:r>
        <w:t xml:space="preserve"> otwarcia ofert w terminie </w:t>
      </w:r>
      <w:proofErr w:type="spellStart"/>
      <w:r>
        <w:t>określonym</w:t>
      </w:r>
      <w:proofErr w:type="spellEnd"/>
      <w:r>
        <w:t xml:space="preserve"> przez </w:t>
      </w:r>
      <w:proofErr w:type="spellStart"/>
      <w:r>
        <w:t>Zamawiającego</w:t>
      </w:r>
      <w:proofErr w:type="spellEnd"/>
      <w:r>
        <w:t xml:space="preserve">, otwarcie ofert nastąpi niezwłocznie po </w:t>
      </w:r>
      <w:proofErr w:type="spellStart"/>
      <w:r>
        <w:t>usunięciu</w:t>
      </w:r>
      <w:proofErr w:type="spellEnd"/>
      <w:r>
        <w:t xml:space="preserve"> awarii.</w:t>
      </w:r>
    </w:p>
    <w:p w14:paraId="22477A54" w14:textId="77777777" w:rsidR="00997A60" w:rsidRDefault="00FC1EE8" w:rsidP="00EE25E4">
      <w:pPr>
        <w:tabs>
          <w:tab w:val="left" w:pos="480"/>
          <w:tab w:val="left" w:pos="960"/>
        </w:tabs>
        <w:spacing w:after="0" w:line="240" w:lineRule="auto"/>
        <w:ind w:left="480" w:hanging="480"/>
        <w:jc w:val="both"/>
      </w:pPr>
      <w:r>
        <w:t>7.</w:t>
      </w:r>
      <w:r>
        <w:rPr>
          <w:b/>
        </w:rPr>
        <w:t xml:space="preserve">  </w:t>
      </w:r>
      <w:proofErr w:type="spellStart"/>
      <w:r>
        <w:rPr>
          <w:bCs/>
        </w:rPr>
        <w:t>Za</w:t>
      </w:r>
      <w:r>
        <w:t>mawiający</w:t>
      </w:r>
      <w:proofErr w:type="spellEnd"/>
      <w:r>
        <w:t xml:space="preserve"> poinformuje o zmianie terminu otwarcia ofert na stronie internetowej prowadzonego </w:t>
      </w:r>
      <w:proofErr w:type="spellStart"/>
      <w:r>
        <w:t>postępowania</w:t>
      </w:r>
      <w:proofErr w:type="spellEnd"/>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AD1C27">
      <w:pPr>
        <w:pStyle w:val="Akapitzlist"/>
        <w:numPr>
          <w:ilvl w:val="0"/>
          <w:numId w:val="25"/>
        </w:numPr>
        <w:spacing w:line="312" w:lineRule="auto"/>
        <w:ind w:left="284" w:hanging="284"/>
        <w:jc w:val="both"/>
        <w:rPr>
          <w:b/>
        </w:rPr>
      </w:pPr>
      <w:r w:rsidRPr="00941A46">
        <w:rPr>
          <w:b/>
        </w:rPr>
        <w:t xml:space="preserve">SPOSÓB OBLICZENIA CENY </w:t>
      </w:r>
    </w:p>
    <w:p w14:paraId="6365B4C8" w14:textId="6942F50E" w:rsidR="00997A60"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EE25E4">
      <w:pPr>
        <w:pStyle w:val="pkt"/>
        <w:numPr>
          <w:ilvl w:val="0"/>
          <w:numId w:val="18"/>
        </w:numPr>
        <w:tabs>
          <w:tab w:val="clear" w:pos="425"/>
        </w:tabs>
        <w:spacing w:before="0" w:after="0"/>
        <w:ind w:left="426" w:hanging="426"/>
        <w:rPr>
          <w:rFonts w:eastAsia="BookmanOldStyle-Bold"/>
          <w:color w:val="000000"/>
        </w:rPr>
      </w:pPr>
      <w:r>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EE25E4">
      <w:pPr>
        <w:pStyle w:val="Akapitzlist"/>
        <w:numPr>
          <w:ilvl w:val="1"/>
          <w:numId w:val="33"/>
        </w:numPr>
        <w:suppressAutoHyphens/>
        <w:ind w:left="709" w:hanging="283"/>
        <w:jc w:val="both"/>
      </w:pPr>
      <w:r>
        <w:t>poinformowania Zamawiającego, że wybór jego oferty będzie prowadził do powstania u Zamawiającego obowiązku podatkowego;</w:t>
      </w:r>
    </w:p>
    <w:p w14:paraId="31ECB902" w14:textId="758E1862" w:rsidR="00997A60" w:rsidRDefault="00FC1EE8" w:rsidP="00EE25E4">
      <w:pPr>
        <w:pStyle w:val="Akapitzlist"/>
        <w:numPr>
          <w:ilvl w:val="1"/>
          <w:numId w:val="33"/>
        </w:numPr>
        <w:suppressAutoHyphens/>
        <w:ind w:left="709" w:hanging="283"/>
        <w:jc w:val="both"/>
      </w:pPr>
      <w:r>
        <w:t>wskazania nazwy (rodzaju) towaru lub usługi, których dostawa lub świadczenie będą prowadziły do powstania obowiązku podatkowego;</w:t>
      </w:r>
    </w:p>
    <w:p w14:paraId="61824DA1" w14:textId="32747D43" w:rsidR="00997A60" w:rsidRDefault="00FC1EE8" w:rsidP="00EE25E4">
      <w:pPr>
        <w:pStyle w:val="Akapitzlist"/>
        <w:numPr>
          <w:ilvl w:val="1"/>
          <w:numId w:val="33"/>
        </w:numPr>
        <w:suppressAutoHyphens/>
        <w:ind w:left="709" w:hanging="283"/>
        <w:jc w:val="both"/>
      </w:pPr>
      <w:r>
        <w:t>wskazania wartości towaru lub usługi objętego obowiązkiem podatkowym Zamawiającego, bez kwoty podatku;</w:t>
      </w:r>
    </w:p>
    <w:p w14:paraId="5EE8F367" w14:textId="721ED75D" w:rsidR="00997A60" w:rsidRDefault="00FC1EE8" w:rsidP="00EE25E4">
      <w:pPr>
        <w:pStyle w:val="Akapitzlist"/>
        <w:numPr>
          <w:ilvl w:val="1"/>
          <w:numId w:val="33"/>
        </w:numPr>
        <w:suppressAutoHyphens/>
        <w:ind w:left="709" w:hanging="283"/>
        <w:jc w:val="both"/>
      </w:pPr>
      <w:r>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lastRenderedPageBreak/>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037713">
      <w:pPr>
        <w:pStyle w:val="Akapitzlist"/>
        <w:numPr>
          <w:ilvl w:val="0"/>
          <w:numId w:val="25"/>
        </w:numPr>
        <w:ind w:left="284" w:hanging="284"/>
        <w:jc w:val="both"/>
        <w:rPr>
          <w:b/>
        </w:rPr>
      </w:pPr>
      <w:r w:rsidRPr="00AE0A2E">
        <w:rPr>
          <w:b/>
        </w:rPr>
        <w:t>OPIS KRYTERIÓW OCENY OFERT, WRAZ Z PODANIEM WAG TYCH KRYTERIÓW I SPOSOBU OCENY OFERT</w:t>
      </w:r>
    </w:p>
    <w:p w14:paraId="13B2ECB6" w14:textId="2CD4B524" w:rsidR="00997A60" w:rsidRDefault="00FC1EE8" w:rsidP="00EE25E4">
      <w:pPr>
        <w:pStyle w:val="pkt"/>
        <w:numPr>
          <w:ilvl w:val="0"/>
          <w:numId w:val="34"/>
        </w:numPr>
        <w:spacing w:before="0" w:after="0"/>
        <w:ind w:left="426" w:hanging="426"/>
        <w:rPr>
          <w:szCs w:val="24"/>
        </w:rPr>
      </w:pPr>
      <w:r>
        <w:rPr>
          <w:szCs w:val="24"/>
        </w:rPr>
        <w:t>Przy wyborze najkorzystniejszej oferty Zamawiający będzie się kierował następującymi kryteriami oceny ofert:</w:t>
      </w:r>
    </w:p>
    <w:p w14:paraId="3132ED37" w14:textId="1B9A2EFD" w:rsid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c</w:t>
      </w:r>
      <w:r w:rsidR="00FC1EE8" w:rsidRPr="00E27B2A">
        <w:rPr>
          <w:bCs/>
        </w:rPr>
        <w:t>ena ofertowa brutto (C)</w:t>
      </w:r>
      <w:r>
        <w:rPr>
          <w:bCs/>
        </w:rPr>
        <w:t xml:space="preserve"> – </w:t>
      </w:r>
      <w:r w:rsidR="00FC1EE8" w:rsidRPr="00E27B2A">
        <w:rPr>
          <w:bCs/>
        </w:rPr>
        <w:t>waga kryterium 60%</w:t>
      </w:r>
      <w:r>
        <w:rPr>
          <w:bCs/>
        </w:rPr>
        <w:t xml:space="preserve">, </w:t>
      </w:r>
    </w:p>
    <w:p w14:paraId="156C9BA0"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w</w:t>
      </w:r>
      <w:r w:rsidR="00FC1EE8" w:rsidRPr="00E27B2A">
        <w:rPr>
          <w:bCs/>
        </w:rPr>
        <w:t>spółczynnik masy pojazdu bazowego gotowego do jazdy do maksymalnej mocy netto silnika (M) – waga kryterium 20%,</w:t>
      </w:r>
    </w:p>
    <w:p w14:paraId="0F3D31FF"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p</w:t>
      </w:r>
      <w:r w:rsidR="00FC1EE8" w:rsidRPr="00E27B2A">
        <w:rPr>
          <w:bCs/>
        </w:rPr>
        <w:t>ojemność silnika (P)</w:t>
      </w:r>
      <w:r>
        <w:rPr>
          <w:bCs/>
        </w:rPr>
        <w:t xml:space="preserve"> – </w:t>
      </w:r>
      <w:r w:rsidR="00FC1EE8" w:rsidRPr="00E27B2A">
        <w:rPr>
          <w:bCs/>
        </w:rPr>
        <w:t>waga kryterium 10%,</w:t>
      </w:r>
    </w:p>
    <w:p w14:paraId="61D96D9A" w14:textId="76DCC9F8" w:rsidR="00E27B2A" w:rsidRPr="00E27B2A" w:rsidRDefault="00E27B2A" w:rsidP="00EE25E4">
      <w:pPr>
        <w:numPr>
          <w:ilvl w:val="0"/>
          <w:numId w:val="20"/>
        </w:numPr>
        <w:tabs>
          <w:tab w:val="clear" w:pos="425"/>
          <w:tab w:val="left" w:pos="709"/>
        </w:tabs>
        <w:spacing w:after="0" w:line="240" w:lineRule="auto"/>
        <w:ind w:left="720" w:hanging="294"/>
        <w:jc w:val="both"/>
        <w:rPr>
          <w:bCs/>
        </w:rPr>
      </w:pPr>
      <w:r w:rsidRPr="00E27B2A">
        <w:rPr>
          <w:bCs/>
        </w:rPr>
        <w:t>z</w:t>
      </w:r>
      <w:r w:rsidR="00FC1EE8" w:rsidRPr="00E27B2A">
        <w:rPr>
          <w:bCs/>
        </w:rPr>
        <w:t xml:space="preserve">użycie energii rozumiane jako zużycie paliwa w cyklu mieszanym w </w:t>
      </w:r>
      <w:r w:rsidRPr="00E27B2A">
        <w:rPr>
          <w:bCs/>
        </w:rPr>
        <w:t>l</w:t>
      </w:r>
      <w:r w:rsidR="00FC1EE8" w:rsidRPr="00E27B2A">
        <w:rPr>
          <w:bCs/>
        </w:rPr>
        <w:t>/100 km (E)</w:t>
      </w:r>
      <w:r w:rsidRPr="00E27B2A">
        <w:rPr>
          <w:bCs/>
        </w:rPr>
        <w:t xml:space="preserve"> – </w:t>
      </w:r>
      <w:r w:rsidR="00FC1EE8" w:rsidRPr="00E27B2A">
        <w:rPr>
          <w:bCs/>
        </w:rPr>
        <w:t>waga kryterium 5%,</w:t>
      </w:r>
    </w:p>
    <w:p w14:paraId="6B7323B9" w14:textId="77777777" w:rsid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dwutlenku węgla w cyklu mieszanym w g/km (</w:t>
      </w:r>
      <w:proofErr w:type="spellStart"/>
      <w:r w:rsidR="00FC1EE8" w:rsidRPr="00E27B2A">
        <w:rPr>
          <w:bCs/>
        </w:rPr>
        <w:t>Edw</w:t>
      </w:r>
      <w:proofErr w:type="spellEnd"/>
      <w:r w:rsidR="00FC1EE8" w:rsidRPr="00E27B2A">
        <w:rPr>
          <w:bCs/>
        </w:rPr>
        <w:t>)</w:t>
      </w:r>
      <w:r>
        <w:rPr>
          <w:bCs/>
        </w:rPr>
        <w:t xml:space="preserve"> – </w:t>
      </w:r>
      <w:r w:rsidR="00FC1EE8" w:rsidRPr="00E27B2A">
        <w:rPr>
          <w:bCs/>
        </w:rPr>
        <w:t>waga kryterium 3%,</w:t>
      </w:r>
    </w:p>
    <w:p w14:paraId="0D56EC9F" w14:textId="39A41B56" w:rsidR="00997A60" w:rsidRPr="00E27B2A" w:rsidRDefault="00E27B2A" w:rsidP="00EE25E4">
      <w:pPr>
        <w:numPr>
          <w:ilvl w:val="0"/>
          <w:numId w:val="20"/>
        </w:numPr>
        <w:tabs>
          <w:tab w:val="clear" w:pos="425"/>
          <w:tab w:val="left" w:pos="709"/>
        </w:tabs>
        <w:spacing w:after="0" w:line="240" w:lineRule="auto"/>
        <w:ind w:left="720" w:hanging="294"/>
        <w:jc w:val="both"/>
        <w:rPr>
          <w:bCs/>
        </w:rPr>
      </w:pPr>
      <w:r>
        <w:rPr>
          <w:bCs/>
        </w:rPr>
        <w:t>e</w:t>
      </w:r>
      <w:r w:rsidR="00FC1EE8" w:rsidRPr="00E27B2A">
        <w:rPr>
          <w:bCs/>
        </w:rPr>
        <w:t>misja zanieczyszczeń: tlenków azotu, cząstek stałych oraz węglowodorów w mg/km</w:t>
      </w:r>
      <w:r>
        <w:rPr>
          <w:bCs/>
        </w:rPr>
        <w:t xml:space="preserve"> – </w:t>
      </w:r>
      <w:r w:rsidR="00FC1EE8" w:rsidRPr="00E27B2A">
        <w:rPr>
          <w:bCs/>
        </w:rPr>
        <w:t>waga kryterium 2%</w:t>
      </w:r>
      <w:r w:rsidRPr="00E27B2A">
        <w:rPr>
          <w:bCs/>
        </w:rPr>
        <w:t xml:space="preserve">. </w:t>
      </w:r>
    </w:p>
    <w:p w14:paraId="5AC054EB" w14:textId="772DFBB5" w:rsidR="00997A60" w:rsidRDefault="00FC1EE8" w:rsidP="00EE25E4">
      <w:pPr>
        <w:pStyle w:val="Akapitzlist"/>
        <w:numPr>
          <w:ilvl w:val="0"/>
          <w:numId w:val="34"/>
        </w:numPr>
        <w:tabs>
          <w:tab w:val="left" w:pos="426"/>
        </w:tabs>
        <w:ind w:left="426" w:hanging="426"/>
        <w:jc w:val="both"/>
      </w:pPr>
      <w:r>
        <w:t>Zasady oceny ofert w poszczególnych kryteriach:</w:t>
      </w:r>
    </w:p>
    <w:p w14:paraId="1F86AE50" w14:textId="66FA5354" w:rsidR="00997A60" w:rsidRPr="000F0BE4" w:rsidRDefault="000F0BE4" w:rsidP="00EE25E4">
      <w:pPr>
        <w:pStyle w:val="Akapitzlist"/>
        <w:numPr>
          <w:ilvl w:val="1"/>
          <w:numId w:val="13"/>
        </w:numPr>
        <w:tabs>
          <w:tab w:val="left" w:pos="425"/>
        </w:tabs>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009" w:type="dxa"/>
        <w:tblInd w:w="489" w:type="dxa"/>
        <w:tblLayout w:type="fixed"/>
        <w:tblCellMar>
          <w:left w:w="70" w:type="dxa"/>
          <w:right w:w="70" w:type="dxa"/>
        </w:tblCellMar>
        <w:tblLook w:val="04A0" w:firstRow="1" w:lastRow="0" w:firstColumn="1" w:lastColumn="0" w:noHBand="0" w:noVBand="1"/>
      </w:tblPr>
      <w:tblGrid>
        <w:gridCol w:w="2947"/>
        <w:gridCol w:w="736"/>
        <w:gridCol w:w="5326"/>
      </w:tblGrid>
      <w:tr w:rsidR="00997A60" w14:paraId="57756734" w14:textId="77777777" w:rsidTr="00EE25E4">
        <w:trPr>
          <w:cantSplit/>
          <w:trHeight w:val="552"/>
        </w:trPr>
        <w:tc>
          <w:tcPr>
            <w:tcW w:w="2947" w:type="dxa"/>
            <w:vAlign w:val="center"/>
          </w:tcPr>
          <w:p w14:paraId="0CD9FEF8" w14:textId="77777777" w:rsidR="00997A60" w:rsidRDefault="00FC1EE8" w:rsidP="00EE25E4">
            <w:pPr>
              <w:spacing w:after="0" w:line="240" w:lineRule="auto"/>
              <w:jc w:val="both"/>
            </w:pPr>
            <w:r>
              <w:tab/>
              <w:t xml:space="preserve">  </w:t>
            </w:r>
            <w:proofErr w:type="spellStart"/>
            <w:r>
              <w:t>C</w:t>
            </w:r>
            <w:r>
              <w:rPr>
                <w:vertAlign w:val="subscript"/>
              </w:rPr>
              <w:t>min</w:t>
            </w:r>
            <w:proofErr w:type="spellEnd"/>
          </w:p>
          <w:p w14:paraId="221723A6" w14:textId="481C5240" w:rsidR="00997A60" w:rsidRDefault="00FC1EE8" w:rsidP="00EE25E4">
            <w:pPr>
              <w:spacing w:after="0" w:line="240" w:lineRule="auto"/>
              <w:jc w:val="both"/>
            </w:pPr>
            <w:r>
              <w:t>C     =</w:t>
            </w:r>
            <w:r>
              <w:tab/>
              <w:t>————  x 60  pkt,</w:t>
            </w:r>
          </w:p>
          <w:p w14:paraId="6CBF4994" w14:textId="77777777" w:rsidR="00997A60" w:rsidRDefault="00FC1EE8" w:rsidP="00EE25E4">
            <w:pPr>
              <w:spacing w:after="0" w:line="240" w:lineRule="auto"/>
              <w:jc w:val="both"/>
            </w:pPr>
            <w:r>
              <w:tab/>
              <w:t xml:space="preserve">    </w:t>
            </w:r>
            <w:proofErr w:type="spellStart"/>
            <w:r>
              <w:t>C</w:t>
            </w:r>
            <w:r>
              <w:rPr>
                <w:vertAlign w:val="subscript"/>
              </w:rPr>
              <w:t>bad</w:t>
            </w:r>
            <w:proofErr w:type="spellEnd"/>
          </w:p>
        </w:tc>
        <w:tc>
          <w:tcPr>
            <w:tcW w:w="736" w:type="dxa"/>
            <w:vAlign w:val="center"/>
          </w:tcPr>
          <w:p w14:paraId="0176AE67" w14:textId="77777777" w:rsidR="00997A60" w:rsidRDefault="00FC1EE8" w:rsidP="00EE25E4">
            <w:pPr>
              <w:spacing w:after="0" w:line="240" w:lineRule="auto"/>
              <w:jc w:val="both"/>
            </w:pPr>
            <w:r>
              <w:t>gdzie:</w:t>
            </w:r>
          </w:p>
        </w:tc>
        <w:tc>
          <w:tcPr>
            <w:tcW w:w="5326" w:type="dxa"/>
            <w:vAlign w:val="center"/>
          </w:tcPr>
          <w:p w14:paraId="410D4DCE" w14:textId="77777777" w:rsidR="00997A60" w:rsidRDefault="00FC1EE8" w:rsidP="00EE25E4">
            <w:pPr>
              <w:spacing w:after="0" w:line="240" w:lineRule="auto"/>
              <w:jc w:val="both"/>
            </w:pPr>
            <w:r>
              <w:tab/>
            </w:r>
          </w:p>
          <w:p w14:paraId="366EAE01" w14:textId="43E746EE" w:rsidR="00997A60" w:rsidRDefault="00037713" w:rsidP="00EE25E4">
            <w:pPr>
              <w:spacing w:after="0" w:line="240" w:lineRule="auto"/>
              <w:jc w:val="both"/>
            </w:pPr>
            <w:r>
              <w:t xml:space="preserve">   </w:t>
            </w:r>
            <w:r w:rsidR="00FC1EE8">
              <w:t>C</w:t>
            </w:r>
            <w:r w:rsidR="00FC1EE8">
              <w:tab/>
              <w:t>=</w:t>
            </w:r>
            <w:r w:rsidR="00FC1EE8">
              <w:tab/>
              <w:t xml:space="preserve">liczba punktów za kryterium </w:t>
            </w:r>
          </w:p>
          <w:p w14:paraId="4F163D52" w14:textId="60B9EFAD" w:rsidR="00997A60" w:rsidRDefault="00FC1EE8" w:rsidP="00037713">
            <w:pPr>
              <w:spacing w:after="0" w:line="240" w:lineRule="auto"/>
              <w:ind w:left="152" w:hanging="284"/>
              <w:jc w:val="both"/>
            </w:pPr>
            <w:r>
              <w:tab/>
            </w:r>
            <w:proofErr w:type="spellStart"/>
            <w:r>
              <w:t>C</w:t>
            </w:r>
            <w:r>
              <w:rPr>
                <w:vertAlign w:val="subscript"/>
              </w:rPr>
              <w:t>min</w:t>
            </w:r>
            <w:proofErr w:type="spellEnd"/>
            <w:r>
              <w:tab/>
              <w:t>=</w:t>
            </w:r>
            <w:r>
              <w:tab/>
              <w:t xml:space="preserve">najniższa cena wynikająca z </w:t>
            </w:r>
            <w:r w:rsidR="00EE25E4">
              <w:t xml:space="preserve"> </w:t>
            </w:r>
            <w:r>
              <w:t xml:space="preserve">ofert </w:t>
            </w:r>
            <w:r>
              <w:br/>
            </w:r>
            <w:r>
              <w:tab/>
            </w:r>
            <w:r>
              <w:tab/>
            </w:r>
            <w:r>
              <w:tab/>
              <w:t>niepodlegających odrzuceniu</w:t>
            </w:r>
          </w:p>
          <w:p w14:paraId="233B4E47" w14:textId="67827306" w:rsidR="00997A60" w:rsidRDefault="00037713" w:rsidP="00EE25E4">
            <w:pPr>
              <w:spacing w:after="0" w:line="240" w:lineRule="auto"/>
              <w:jc w:val="both"/>
            </w:pPr>
            <w:r>
              <w:t xml:space="preserve">   </w:t>
            </w:r>
            <w:proofErr w:type="spellStart"/>
            <w:r w:rsidR="00FC1EE8">
              <w:t>C</w:t>
            </w:r>
            <w:r w:rsidR="00FC1EE8">
              <w:rPr>
                <w:vertAlign w:val="subscript"/>
              </w:rPr>
              <w:t>bad</w:t>
            </w:r>
            <w:proofErr w:type="spellEnd"/>
            <w:r w:rsidR="00FC1EE8">
              <w:tab/>
              <w:t>=</w:t>
            </w:r>
            <w:r w:rsidR="00FC1EE8">
              <w:tab/>
              <w:t>cena oferty badanej</w:t>
            </w:r>
          </w:p>
          <w:p w14:paraId="3536CB51" w14:textId="77777777" w:rsidR="00997A60" w:rsidRDefault="00997A60" w:rsidP="00EE25E4">
            <w:pPr>
              <w:spacing w:after="0" w:line="240" w:lineRule="auto"/>
              <w:jc w:val="both"/>
            </w:pPr>
          </w:p>
          <w:p w14:paraId="1222ADE2" w14:textId="77777777" w:rsidR="00997A60" w:rsidRDefault="00997A60" w:rsidP="00EE25E4">
            <w:pPr>
              <w:spacing w:after="0" w:line="240" w:lineRule="auto"/>
              <w:jc w:val="both"/>
            </w:pPr>
          </w:p>
        </w:tc>
      </w:tr>
    </w:tbl>
    <w:p w14:paraId="4E052742" w14:textId="609F0724" w:rsidR="00997A60" w:rsidRDefault="00FC1EE8" w:rsidP="00EE25E4">
      <w:pPr>
        <w:spacing w:after="0" w:line="240" w:lineRule="auto"/>
        <w:ind w:left="709"/>
        <w:jc w:val="both"/>
      </w:pPr>
      <w:r>
        <w:t>Podstawą przyznania punktów w kryterium cena ofertowa brutto będzie cena ofertowa brutto podana przez Wykonawcę w Formularzu Ofertowym.</w:t>
      </w:r>
    </w:p>
    <w:p w14:paraId="7A4DD75D" w14:textId="145BD83A" w:rsidR="00997A60" w:rsidRDefault="00FC1EE8" w:rsidP="00EE25E4">
      <w:pPr>
        <w:spacing w:after="0" w:line="240" w:lineRule="auto"/>
        <w:ind w:left="709"/>
        <w:jc w:val="both"/>
      </w:pPr>
      <w:r>
        <w:t>Cena ofertowa brutto musi uwzględniać wszelkie koszty</w:t>
      </w:r>
      <w:r w:rsidR="000F0BE4">
        <w:t>,</w:t>
      </w:r>
      <w:r>
        <w:t xml:space="preserve"> jakie Wykonawca poniesie w związku z realizacją przedmiotu zamówienia.</w:t>
      </w:r>
    </w:p>
    <w:p w14:paraId="174C01ED" w14:textId="39098140" w:rsidR="00997A60" w:rsidRDefault="000F0BE4" w:rsidP="00EE25E4">
      <w:pPr>
        <w:pStyle w:val="Akapitzlist"/>
        <w:numPr>
          <w:ilvl w:val="1"/>
          <w:numId w:val="13"/>
        </w:numPr>
        <w:tabs>
          <w:tab w:val="left" w:pos="425"/>
          <w:tab w:val="left" w:pos="709"/>
        </w:tabs>
        <w:ind w:left="709" w:hanging="283"/>
        <w:jc w:val="both"/>
      </w:pPr>
      <w:r>
        <w:t>w ramach</w:t>
      </w:r>
      <w:r w:rsidR="00FC1EE8">
        <w:t xml:space="preserve"> kryterium </w:t>
      </w:r>
      <w:r w:rsidR="00FC1EE8" w:rsidRPr="000F0BE4">
        <w:rPr>
          <w:b/>
          <w:bCs/>
        </w:rPr>
        <w:t>wspó</w:t>
      </w:r>
      <w:r w:rsidR="00FC1EE8" w:rsidRPr="000F0BE4">
        <w:rPr>
          <w:b/>
        </w:rPr>
        <w:t>łczynnik masy pojazdu bazowego gotowego do jazdy do maksymalnej mocy netto silnika</w:t>
      </w:r>
      <w:r w:rsidR="00FC1EE8" w:rsidRPr="000F0BE4">
        <w:rPr>
          <w:bCs/>
        </w:rPr>
        <w:t>, dalej jako współczynnik masy</w:t>
      </w:r>
      <w:r w:rsidR="00FC1EE8" w:rsidRPr="000F0BE4">
        <w:rPr>
          <w:b/>
          <w:bCs/>
        </w:rPr>
        <w:t xml:space="preserve"> – 20</w:t>
      </w:r>
      <w:r w:rsidR="00077856">
        <w:rPr>
          <w:b/>
          <w:bCs/>
        </w:rPr>
        <w:t>%</w:t>
      </w:r>
      <w:r w:rsidR="00FC1EE8" w:rsidRPr="000F0BE4">
        <w:rPr>
          <w:b/>
          <w:bCs/>
        </w:rPr>
        <w:t xml:space="preserve"> (M),</w:t>
      </w:r>
      <w:r>
        <w:t xml:space="preserve"> </w:t>
      </w:r>
      <w:r w:rsidR="00077856">
        <w:t>oferta</w:t>
      </w:r>
      <w:r>
        <w:t xml:space="preserve"> może uzyskać maksymalnie 20 pkt.</w:t>
      </w:r>
      <w:r w:rsidR="00FC1EE8" w:rsidRPr="000F0BE4">
        <w:rPr>
          <w:b/>
          <w:bCs/>
        </w:rPr>
        <w:t xml:space="preserve"> </w:t>
      </w:r>
      <w:r w:rsidR="00077856">
        <w:t>Oferta, w której zaoferowano</w:t>
      </w:r>
      <w:r w:rsidR="00FC1EE8" w:rsidRPr="000F0BE4">
        <w:t xml:space="preserve"> najniższy współczynnik masy otrzyma 20 pkt, natomiast </w:t>
      </w:r>
      <w:r w:rsidR="00BD4491">
        <w:t>pozostałe oferty</w:t>
      </w:r>
      <w:r w:rsidR="00FC1EE8" w:rsidRPr="000F0BE4">
        <w:t xml:space="preserve"> odpowiednio mniej punktów według wzoru:</w:t>
      </w:r>
    </w:p>
    <w:tbl>
      <w:tblPr>
        <w:tblW w:w="9356"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545"/>
      </w:tblGrid>
      <w:tr w:rsidR="00997A60" w14:paraId="2932E4B5" w14:textId="77777777" w:rsidTr="00EE25E4">
        <w:trPr>
          <w:cantSplit/>
          <w:trHeight w:val="679"/>
        </w:trPr>
        <w:tc>
          <w:tcPr>
            <w:tcW w:w="3049" w:type="dxa"/>
            <w:tcBorders>
              <w:tl2br w:val="nil"/>
              <w:tr2bl w:val="nil"/>
            </w:tcBorders>
            <w:shd w:val="clear" w:color="auto" w:fill="FFFFFF"/>
            <w:vAlign w:val="center"/>
          </w:tcPr>
          <w:p w14:paraId="59F28D61" w14:textId="77777777" w:rsidR="00997A60" w:rsidRDefault="00FC1EE8" w:rsidP="00EE25E4">
            <w:pPr>
              <w:spacing w:after="0" w:line="240" w:lineRule="auto"/>
              <w:jc w:val="both"/>
              <w:rPr>
                <w:color w:val="000000"/>
              </w:rPr>
            </w:pPr>
            <w:r>
              <w:rPr>
                <w:color w:val="000000"/>
              </w:rPr>
              <w:lastRenderedPageBreak/>
              <w:tab/>
              <w:t xml:space="preserve">  </w:t>
            </w:r>
            <w:proofErr w:type="spellStart"/>
            <w:r>
              <w:rPr>
                <w:color w:val="000000"/>
              </w:rPr>
              <w:t>M</w:t>
            </w:r>
            <w:r>
              <w:rPr>
                <w:color w:val="000000"/>
                <w:vertAlign w:val="subscript"/>
              </w:rPr>
              <w:t>min</w:t>
            </w:r>
            <w:proofErr w:type="spellEnd"/>
          </w:p>
          <w:p w14:paraId="4926A97D" w14:textId="45901630" w:rsidR="00997A60" w:rsidRDefault="00FC1EE8" w:rsidP="00EE25E4">
            <w:pPr>
              <w:spacing w:after="0" w:line="240" w:lineRule="auto"/>
              <w:jc w:val="both"/>
              <w:rPr>
                <w:color w:val="000000"/>
              </w:rPr>
            </w:pPr>
            <w:r>
              <w:rPr>
                <w:color w:val="000000"/>
              </w:rPr>
              <w:t>M     =</w:t>
            </w:r>
            <w:r>
              <w:rPr>
                <w:color w:val="000000"/>
              </w:rPr>
              <w:tab/>
              <w:t>————  x 20  pkt,</w:t>
            </w:r>
          </w:p>
          <w:p w14:paraId="6B4105C9"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M</w:t>
            </w:r>
            <w:r>
              <w:rPr>
                <w:color w:val="000000"/>
                <w:vertAlign w:val="subscript"/>
              </w:rPr>
              <w:t>bad</w:t>
            </w:r>
            <w:proofErr w:type="spellEnd"/>
          </w:p>
        </w:tc>
        <w:tc>
          <w:tcPr>
            <w:tcW w:w="762" w:type="dxa"/>
            <w:tcBorders>
              <w:tl2br w:val="nil"/>
              <w:tr2bl w:val="nil"/>
            </w:tcBorders>
            <w:shd w:val="clear" w:color="auto" w:fill="FFFFFF"/>
            <w:vAlign w:val="center"/>
          </w:tcPr>
          <w:p w14:paraId="3887E702" w14:textId="77777777" w:rsidR="00997A60" w:rsidRDefault="00FC1EE8" w:rsidP="00EE25E4">
            <w:pPr>
              <w:spacing w:after="0" w:line="240" w:lineRule="auto"/>
              <w:jc w:val="both"/>
              <w:rPr>
                <w:color w:val="000000"/>
              </w:rPr>
            </w:pPr>
            <w:r>
              <w:rPr>
                <w:color w:val="000000"/>
              </w:rPr>
              <w:t>gdzie:</w:t>
            </w:r>
          </w:p>
        </w:tc>
        <w:tc>
          <w:tcPr>
            <w:tcW w:w="5545" w:type="dxa"/>
            <w:tcBorders>
              <w:tl2br w:val="nil"/>
              <w:tr2bl w:val="nil"/>
            </w:tcBorders>
            <w:shd w:val="clear" w:color="auto" w:fill="FFFFFF"/>
            <w:vAlign w:val="center"/>
          </w:tcPr>
          <w:p w14:paraId="50B5FC49" w14:textId="77777777" w:rsidR="00997A60" w:rsidRDefault="00FC1EE8" w:rsidP="00EE25E4">
            <w:pPr>
              <w:spacing w:after="0" w:line="240" w:lineRule="auto"/>
              <w:jc w:val="both"/>
              <w:rPr>
                <w:color w:val="000000"/>
              </w:rPr>
            </w:pPr>
            <w:r>
              <w:rPr>
                <w:color w:val="000000"/>
              </w:rPr>
              <w:tab/>
            </w:r>
          </w:p>
          <w:p w14:paraId="709C5E13" w14:textId="27406AF0" w:rsidR="00997A60" w:rsidRDefault="00FC1EE8" w:rsidP="00EE25E4">
            <w:pPr>
              <w:spacing w:after="0" w:line="240" w:lineRule="auto"/>
              <w:jc w:val="both"/>
              <w:rPr>
                <w:color w:val="000000"/>
              </w:rPr>
            </w:pPr>
            <w:r>
              <w:rPr>
                <w:color w:val="000000"/>
              </w:rPr>
              <w:t xml:space="preserve">      M = liczba punktów za kryterium </w:t>
            </w:r>
          </w:p>
          <w:p w14:paraId="39D1EBC6" w14:textId="28F23EF6"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M</w:t>
            </w:r>
            <w:r>
              <w:rPr>
                <w:color w:val="000000"/>
                <w:vertAlign w:val="subscript"/>
              </w:rPr>
              <w:t>min</w:t>
            </w:r>
            <w:proofErr w:type="spellEnd"/>
            <w:r>
              <w:rPr>
                <w:color w:val="000000"/>
                <w:vertAlign w:val="subscript"/>
              </w:rPr>
              <w:t xml:space="preserve"> </w:t>
            </w:r>
            <w:r>
              <w:rPr>
                <w:color w:val="000000"/>
              </w:rPr>
              <w:t xml:space="preserve">= wartość </w:t>
            </w:r>
            <w:r w:rsidR="000F0BE4">
              <w:rPr>
                <w:color w:val="000000"/>
              </w:rPr>
              <w:t>najniższego</w:t>
            </w:r>
            <w:r>
              <w:rPr>
                <w:color w:val="000000"/>
              </w:rPr>
              <w:t xml:space="preserve"> współczynnika masy                   spośród złożonych ofert niepodlegających odrzuceniu</w:t>
            </w:r>
          </w:p>
          <w:p w14:paraId="454EE1EC" w14:textId="4FD98D83"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M</w:t>
            </w:r>
            <w:r>
              <w:rPr>
                <w:color w:val="000000"/>
                <w:vertAlign w:val="subscript"/>
              </w:rPr>
              <w:t>bad</w:t>
            </w:r>
            <w:proofErr w:type="spellEnd"/>
            <w:r>
              <w:rPr>
                <w:color w:val="000000"/>
                <w:vertAlign w:val="subscript"/>
              </w:rPr>
              <w:t xml:space="preserve"> </w:t>
            </w:r>
            <w:r>
              <w:rPr>
                <w:color w:val="000000"/>
              </w:rPr>
              <w:t>= wartość współczynnika masy oferty badanej</w:t>
            </w:r>
          </w:p>
          <w:p w14:paraId="7E3DF026" w14:textId="77777777" w:rsidR="00997A60" w:rsidRDefault="00997A60" w:rsidP="00EE25E4">
            <w:pPr>
              <w:spacing w:after="0" w:line="240" w:lineRule="auto"/>
              <w:jc w:val="both"/>
              <w:rPr>
                <w:color w:val="000000"/>
              </w:rPr>
            </w:pPr>
          </w:p>
        </w:tc>
      </w:tr>
    </w:tbl>
    <w:p w14:paraId="207CB3D2" w14:textId="6F654A2D" w:rsidR="00997A60" w:rsidRDefault="00FC1EE8" w:rsidP="00EE25E4">
      <w:pPr>
        <w:pStyle w:val="Akapitzlist"/>
        <w:autoSpaceDE w:val="0"/>
        <w:autoSpaceDN w:val="0"/>
        <w:adjustRightInd w:val="0"/>
        <w:ind w:left="709"/>
        <w:contextualSpacing w:val="0"/>
        <w:jc w:val="both"/>
      </w:pPr>
      <w:r>
        <w:t xml:space="preserve">W przypadku, gdy Wykonawca nie </w:t>
      </w:r>
      <w:r w:rsidR="005C6B79">
        <w:t>wskaże</w:t>
      </w:r>
      <w:r>
        <w:t xml:space="preserve"> w ofercie współczynnika masy lub będzie on rozbieżny z </w:t>
      </w:r>
      <w:r w:rsidR="005C6B79">
        <w:t>informacjami wynikającymi ze</w:t>
      </w:r>
      <w:r>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D73754">
        <w:rPr>
          <w:rFonts w:eastAsiaTheme="minorHAnsi"/>
          <w:lang w:eastAsia="en-US"/>
        </w:rPr>
        <w:t xml:space="preserve"> </w:t>
      </w:r>
      <w:r w:rsidR="00D73754" w:rsidRPr="00D73754">
        <w:t>świadectwa homologacji typu WE</w:t>
      </w:r>
      <w:r>
        <w:t xml:space="preserve"> lub w/w dokumentu.</w:t>
      </w:r>
      <w:r w:rsidR="00077856">
        <w:t xml:space="preserve"> Jeżeli Wykonawca </w:t>
      </w:r>
      <w:r w:rsidR="00D73754" w:rsidRPr="00D73754">
        <w:t xml:space="preserve">nie wskaże w ofercie współczynnika masy </w:t>
      </w:r>
      <w:r w:rsidR="00D73754">
        <w:t xml:space="preserve">i </w:t>
      </w:r>
      <w:r w:rsidR="00077856">
        <w:t xml:space="preserve">nie złoży wraz z ofertą dokumentu, o którym mowa w zdaniu poprzednim, otrzyma 0 pkt w zakresie tego kryterium oceny ofert. </w:t>
      </w:r>
    </w:p>
    <w:p w14:paraId="2964E6D5" w14:textId="7AD118D7" w:rsidR="00997A60" w:rsidRDefault="00077856" w:rsidP="00EE25E4">
      <w:pPr>
        <w:pStyle w:val="Akapitzlist"/>
        <w:numPr>
          <w:ilvl w:val="1"/>
          <w:numId w:val="13"/>
        </w:numPr>
        <w:tabs>
          <w:tab w:val="left" w:pos="425"/>
          <w:tab w:val="left" w:pos="709"/>
        </w:tabs>
        <w:ind w:left="709" w:hanging="283"/>
        <w:jc w:val="both"/>
      </w:pPr>
      <w:r>
        <w:t xml:space="preserve">w ramach </w:t>
      </w:r>
      <w:r w:rsidR="00FC1EE8">
        <w:t xml:space="preserve">kryterium </w:t>
      </w:r>
      <w:r w:rsidR="00FC1EE8" w:rsidRPr="00077856">
        <w:rPr>
          <w:b/>
          <w:bCs/>
        </w:rPr>
        <w:t>pojemność silnika</w:t>
      </w:r>
      <w:r>
        <w:rPr>
          <w:b/>
          <w:bCs/>
        </w:rPr>
        <w:t xml:space="preserve"> – </w:t>
      </w:r>
      <w:r w:rsidR="00FC1EE8" w:rsidRPr="00077856">
        <w:rPr>
          <w:b/>
          <w:bCs/>
        </w:rPr>
        <w:t>10</w:t>
      </w:r>
      <w:r>
        <w:rPr>
          <w:b/>
          <w:bCs/>
        </w:rPr>
        <w:t>%</w:t>
      </w:r>
      <w:r w:rsidR="001271F0">
        <w:rPr>
          <w:b/>
          <w:bCs/>
        </w:rPr>
        <w:t xml:space="preserve"> (P)</w:t>
      </w:r>
      <w:r w:rsidRPr="00077856">
        <w:t>,</w:t>
      </w:r>
      <w:r>
        <w:rPr>
          <w:b/>
          <w:bCs/>
        </w:rPr>
        <w:t xml:space="preserve"> </w:t>
      </w:r>
      <w:r w:rsidR="00854CC9">
        <w:t>oferta</w:t>
      </w:r>
      <w:r>
        <w:t xml:space="preserve"> może otrzymać maksymalnie 10 pkt. </w:t>
      </w:r>
      <w:r w:rsidR="00854CC9">
        <w:t>Oferta</w:t>
      </w:r>
      <w:r w:rsidR="009650D4">
        <w:t>,</w:t>
      </w:r>
      <w:r w:rsidR="00854CC9">
        <w:t xml:space="preserve"> w której zostanie zaoferowana </w:t>
      </w:r>
      <w:r w:rsidR="00FC1EE8" w:rsidRPr="00077856">
        <w:t>największ</w:t>
      </w:r>
      <w:r w:rsidR="00854CC9">
        <w:t>a</w:t>
      </w:r>
      <w:r w:rsidR="00FC1EE8" w:rsidRPr="00077856">
        <w:t xml:space="preserve"> pojemność silnika otrzyma 10 pkt, natomiast pozosta</w:t>
      </w:r>
      <w:r w:rsidR="00854CC9">
        <w:t xml:space="preserve">łe oferty </w:t>
      </w:r>
      <w:r w:rsidR="00FC1EE8" w:rsidRPr="00077856">
        <w:t>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5BFC3E68" w14:textId="77777777" w:rsidTr="00EE25E4">
        <w:trPr>
          <w:cantSplit/>
          <w:trHeight w:val="679"/>
        </w:trPr>
        <w:tc>
          <w:tcPr>
            <w:tcW w:w="3049" w:type="dxa"/>
            <w:tcBorders>
              <w:tl2br w:val="nil"/>
              <w:tr2bl w:val="nil"/>
            </w:tcBorders>
            <w:shd w:val="clear" w:color="auto" w:fill="FFFFFF"/>
            <w:vAlign w:val="center"/>
          </w:tcPr>
          <w:p w14:paraId="1EF839E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bad</w:t>
            </w:r>
            <w:proofErr w:type="spellEnd"/>
          </w:p>
          <w:p w14:paraId="33D1C8BB" w14:textId="54FB3E41" w:rsidR="00997A60" w:rsidRDefault="00FC1EE8" w:rsidP="00EE25E4">
            <w:pPr>
              <w:spacing w:after="0" w:line="240" w:lineRule="auto"/>
              <w:ind w:left="151"/>
              <w:jc w:val="both"/>
              <w:rPr>
                <w:color w:val="000000"/>
              </w:rPr>
            </w:pPr>
            <w:r>
              <w:rPr>
                <w:color w:val="000000"/>
              </w:rPr>
              <w:t>P    =</w:t>
            </w:r>
            <w:r>
              <w:rPr>
                <w:color w:val="000000"/>
              </w:rPr>
              <w:tab/>
              <w:t>————  x 10  pkt,</w:t>
            </w:r>
          </w:p>
          <w:p w14:paraId="120E6CCD"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P</w:t>
            </w:r>
            <w:r>
              <w:rPr>
                <w:color w:val="000000"/>
                <w:vertAlign w:val="subscript"/>
              </w:rPr>
              <w:t>max</w:t>
            </w:r>
            <w:proofErr w:type="spellEnd"/>
          </w:p>
        </w:tc>
        <w:tc>
          <w:tcPr>
            <w:tcW w:w="762" w:type="dxa"/>
            <w:tcBorders>
              <w:tl2br w:val="nil"/>
              <w:tr2bl w:val="nil"/>
            </w:tcBorders>
            <w:shd w:val="clear" w:color="auto" w:fill="FFFFFF"/>
            <w:vAlign w:val="center"/>
          </w:tcPr>
          <w:p w14:paraId="4E70B729"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552F6CB2" w14:textId="77777777" w:rsidR="00997A60" w:rsidRDefault="00FC1EE8" w:rsidP="00EE25E4">
            <w:pPr>
              <w:spacing w:after="0" w:line="240" w:lineRule="auto"/>
              <w:jc w:val="both"/>
              <w:rPr>
                <w:color w:val="000000"/>
              </w:rPr>
            </w:pPr>
            <w:r>
              <w:rPr>
                <w:color w:val="000000"/>
              </w:rPr>
              <w:tab/>
            </w:r>
          </w:p>
          <w:p w14:paraId="1769C979" w14:textId="132AABC4" w:rsidR="00997A60" w:rsidRDefault="00FC1EE8" w:rsidP="00EE25E4">
            <w:pPr>
              <w:spacing w:after="0" w:line="240" w:lineRule="auto"/>
              <w:jc w:val="both"/>
              <w:rPr>
                <w:color w:val="000000"/>
              </w:rPr>
            </w:pPr>
            <w:r>
              <w:rPr>
                <w:color w:val="000000"/>
              </w:rPr>
              <w:t xml:space="preserve">      P = liczba punktów </w:t>
            </w:r>
            <w:r w:rsidR="00900882">
              <w:rPr>
                <w:color w:val="000000"/>
              </w:rPr>
              <w:t>w</w:t>
            </w:r>
            <w:r>
              <w:rPr>
                <w:color w:val="000000"/>
              </w:rPr>
              <w:t xml:space="preserve"> kryterium pojemność silnika</w:t>
            </w:r>
          </w:p>
          <w:p w14:paraId="5062F482" w14:textId="1602A015"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P</w:t>
            </w:r>
            <w:r>
              <w:rPr>
                <w:color w:val="000000"/>
                <w:vertAlign w:val="subscript"/>
              </w:rPr>
              <w:t>max</w:t>
            </w:r>
            <w:proofErr w:type="spellEnd"/>
            <w:r>
              <w:rPr>
                <w:color w:val="000000"/>
                <w:vertAlign w:val="subscript"/>
              </w:rPr>
              <w:t xml:space="preserve"> </w:t>
            </w:r>
            <w:r>
              <w:rPr>
                <w:color w:val="000000"/>
              </w:rPr>
              <w:t>= największa pojemność silnika spośród złożonych ofert niepodlegających odrzuceniu</w:t>
            </w:r>
          </w:p>
          <w:p w14:paraId="7F4AF8FD" w14:textId="375B8B3A"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P</w:t>
            </w:r>
            <w:r>
              <w:rPr>
                <w:color w:val="000000"/>
                <w:vertAlign w:val="subscript"/>
              </w:rPr>
              <w:t>bad</w:t>
            </w:r>
            <w:proofErr w:type="spellEnd"/>
            <w:r>
              <w:rPr>
                <w:color w:val="000000"/>
                <w:vertAlign w:val="subscript"/>
              </w:rPr>
              <w:t xml:space="preserve"> </w:t>
            </w:r>
            <w:r>
              <w:rPr>
                <w:color w:val="000000"/>
              </w:rPr>
              <w:t>= pojemność silnika oferty badanej</w:t>
            </w:r>
          </w:p>
          <w:p w14:paraId="7A3EF2F9" w14:textId="77777777" w:rsidR="00997A60" w:rsidRDefault="00997A60" w:rsidP="00EE25E4">
            <w:pPr>
              <w:spacing w:after="0" w:line="240" w:lineRule="auto"/>
              <w:jc w:val="both"/>
              <w:rPr>
                <w:color w:val="000000"/>
              </w:rPr>
            </w:pPr>
          </w:p>
        </w:tc>
      </w:tr>
    </w:tbl>
    <w:p w14:paraId="76F2F0AC" w14:textId="5DC67B61"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pojemności silnika </w:t>
      </w:r>
      <w:r w:rsidR="00077856" w:rsidRPr="00077856">
        <w:t>lub będzie on</w:t>
      </w:r>
      <w:r w:rsidR="00077856">
        <w:t>a</w:t>
      </w:r>
      <w:r w:rsidR="00077856" w:rsidRPr="00077856">
        <w:t xml:space="preserve"> rozbieżn</w:t>
      </w:r>
      <w:r w:rsidR="00077856">
        <w:t>a</w:t>
      </w:r>
      <w:r w:rsidR="00077856" w:rsidRPr="00077856">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pojemności silnika </w:t>
      </w:r>
      <w:r w:rsidR="00D73754">
        <w:t xml:space="preserve">i </w:t>
      </w:r>
      <w:r w:rsidR="00077856" w:rsidRPr="00077856">
        <w:t>nie złoży wraz z ofertą dokumentu, o którym mowa w zdaniu poprzednim, otrzyma 0 pkt w zakresie tego kryterium oceny ofert.</w:t>
      </w:r>
    </w:p>
    <w:p w14:paraId="08677CEF" w14:textId="15F6DECB" w:rsidR="00997A60" w:rsidRPr="00077856" w:rsidRDefault="00077856" w:rsidP="00EE25E4">
      <w:pPr>
        <w:pStyle w:val="Akapitzlist"/>
        <w:numPr>
          <w:ilvl w:val="1"/>
          <w:numId w:val="13"/>
        </w:numPr>
        <w:tabs>
          <w:tab w:val="left" w:pos="709"/>
        </w:tabs>
        <w:ind w:left="709" w:hanging="283"/>
        <w:jc w:val="both"/>
      </w:pPr>
      <w:r>
        <w:t>w ramach</w:t>
      </w:r>
      <w:r w:rsidR="00FC1EE8">
        <w:t xml:space="preserve"> kryterium </w:t>
      </w:r>
      <w:r w:rsidR="00FC1EE8" w:rsidRPr="00077856">
        <w:rPr>
          <w:b/>
          <w:bCs/>
        </w:rPr>
        <w:t>zużycie energii rozumiane jako zużycie paliwa w cyklu mieszanym w 1/100 km</w:t>
      </w:r>
      <w:r w:rsidR="00FC1EE8" w:rsidRPr="00077856">
        <w:t>, dalej jako zużycie energii</w:t>
      </w:r>
      <w:r w:rsidR="00FC1EE8" w:rsidRPr="00077856">
        <w:rPr>
          <w:b/>
          <w:bCs/>
        </w:rPr>
        <w:t xml:space="preserve"> </w:t>
      </w:r>
      <w:r>
        <w:rPr>
          <w:b/>
          <w:bCs/>
        </w:rPr>
        <w:t>–</w:t>
      </w:r>
      <w:r w:rsidR="00FC1EE8" w:rsidRPr="00077856">
        <w:rPr>
          <w:b/>
          <w:bCs/>
        </w:rPr>
        <w:t xml:space="preserve"> 5</w:t>
      </w:r>
      <w:r>
        <w:rPr>
          <w:b/>
          <w:bCs/>
        </w:rPr>
        <w:t xml:space="preserve">% </w:t>
      </w:r>
      <w:r w:rsidR="00FC1EE8" w:rsidRPr="00077856">
        <w:rPr>
          <w:b/>
          <w:bCs/>
        </w:rPr>
        <w:t>(E)</w:t>
      </w:r>
      <w:r w:rsidR="00FC1EE8">
        <w:t xml:space="preserve">, </w:t>
      </w:r>
      <w:r w:rsidR="00A1112F">
        <w:t>oferta</w:t>
      </w:r>
      <w:r>
        <w:t xml:space="preserve"> może otrzymać maksymalnie 5 pkt. </w:t>
      </w:r>
      <w:r w:rsidR="00A1112F">
        <w:t>Oferta, w które</w:t>
      </w:r>
      <w:r w:rsidR="009650D4">
        <w:t>j</w:t>
      </w:r>
      <w:r w:rsidR="00A1112F">
        <w:t xml:space="preserve"> zaoferowany zostanie </w:t>
      </w:r>
      <w:r w:rsidR="00FC1EE8" w:rsidRPr="00077856">
        <w:t>najniższe zużycie energii</w:t>
      </w:r>
      <w:r>
        <w:t xml:space="preserve"> </w:t>
      </w:r>
      <w:r w:rsidR="00FC1EE8" w:rsidRPr="00077856">
        <w:t xml:space="preserve">otrzyma 5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2536CF49" w14:textId="77777777" w:rsidTr="00EE25E4">
        <w:trPr>
          <w:cantSplit/>
          <w:trHeight w:val="679"/>
        </w:trPr>
        <w:tc>
          <w:tcPr>
            <w:tcW w:w="3049" w:type="dxa"/>
            <w:tcBorders>
              <w:tl2br w:val="nil"/>
              <w:tr2bl w:val="nil"/>
            </w:tcBorders>
            <w:shd w:val="clear" w:color="auto" w:fill="FFFFFF"/>
            <w:vAlign w:val="center"/>
          </w:tcPr>
          <w:p w14:paraId="05309254" w14:textId="77777777" w:rsidR="00997A60" w:rsidRDefault="00FC1EE8" w:rsidP="00EE25E4">
            <w:pPr>
              <w:spacing w:after="0" w:line="240" w:lineRule="auto"/>
              <w:jc w:val="both"/>
              <w:rPr>
                <w:color w:val="000000"/>
              </w:rPr>
            </w:pPr>
            <w:r>
              <w:rPr>
                <w:color w:val="000000"/>
              </w:rPr>
              <w:lastRenderedPageBreak/>
              <w:tab/>
              <w:t xml:space="preserve">  E</w:t>
            </w:r>
            <w:r>
              <w:rPr>
                <w:color w:val="000000"/>
                <w:vertAlign w:val="subscript"/>
              </w:rPr>
              <w:t>min</w:t>
            </w:r>
          </w:p>
          <w:p w14:paraId="336A4827" w14:textId="5DBE3585" w:rsidR="00997A60" w:rsidRDefault="00FC1EE8" w:rsidP="00EE25E4">
            <w:pPr>
              <w:spacing w:after="0" w:line="240" w:lineRule="auto"/>
              <w:jc w:val="both"/>
              <w:rPr>
                <w:color w:val="000000"/>
              </w:rPr>
            </w:pPr>
            <w:r>
              <w:rPr>
                <w:color w:val="000000"/>
              </w:rPr>
              <w:t>E     =</w:t>
            </w:r>
            <w:r>
              <w:rPr>
                <w:color w:val="000000"/>
              </w:rPr>
              <w:tab/>
              <w:t>————  x 5 pkt,</w:t>
            </w:r>
          </w:p>
          <w:p w14:paraId="0F5EDD62"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w:t>
            </w:r>
            <w:r>
              <w:rPr>
                <w:color w:val="000000"/>
                <w:vertAlign w:val="subscript"/>
              </w:rPr>
              <w:t>bad</w:t>
            </w:r>
            <w:proofErr w:type="spellEnd"/>
          </w:p>
        </w:tc>
        <w:tc>
          <w:tcPr>
            <w:tcW w:w="762" w:type="dxa"/>
            <w:tcBorders>
              <w:tl2br w:val="nil"/>
              <w:tr2bl w:val="nil"/>
            </w:tcBorders>
            <w:shd w:val="clear" w:color="auto" w:fill="FFFFFF"/>
            <w:vAlign w:val="center"/>
          </w:tcPr>
          <w:p w14:paraId="455FAA9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21FCF87" w14:textId="77777777" w:rsidR="00997A60" w:rsidRDefault="00FC1EE8" w:rsidP="00EE25E4">
            <w:pPr>
              <w:spacing w:after="0" w:line="240" w:lineRule="auto"/>
              <w:jc w:val="both"/>
              <w:rPr>
                <w:color w:val="000000"/>
              </w:rPr>
            </w:pPr>
            <w:r>
              <w:rPr>
                <w:color w:val="000000"/>
              </w:rPr>
              <w:tab/>
            </w:r>
          </w:p>
          <w:p w14:paraId="196926C4" w14:textId="193EAD89" w:rsidR="00997A60" w:rsidRDefault="00FC1EE8" w:rsidP="00EE25E4">
            <w:pPr>
              <w:spacing w:after="0" w:line="240" w:lineRule="auto"/>
              <w:jc w:val="both"/>
              <w:rPr>
                <w:color w:val="000000"/>
              </w:rPr>
            </w:pPr>
            <w:r>
              <w:rPr>
                <w:color w:val="000000"/>
              </w:rPr>
              <w:t xml:space="preserve">      E = liczba punktów </w:t>
            </w:r>
            <w:r w:rsidR="00A74F6F">
              <w:rPr>
                <w:color w:val="000000"/>
              </w:rPr>
              <w:t>w</w:t>
            </w:r>
            <w:r>
              <w:rPr>
                <w:color w:val="000000"/>
              </w:rPr>
              <w:t xml:space="preserve"> kryterium zużycie energii</w:t>
            </w:r>
          </w:p>
          <w:p w14:paraId="7200F3EF" w14:textId="25DA91C3" w:rsidR="00997A60" w:rsidRDefault="00FC1EE8" w:rsidP="00EE25E4">
            <w:pPr>
              <w:spacing w:after="0" w:line="240" w:lineRule="auto"/>
              <w:ind w:left="360" w:hangingChars="150" w:hanging="360"/>
              <w:jc w:val="both"/>
              <w:rPr>
                <w:color w:val="000000"/>
              </w:rPr>
            </w:pPr>
            <w:r>
              <w:rPr>
                <w:color w:val="000000"/>
              </w:rPr>
              <w:tab/>
              <w:t>E</w:t>
            </w:r>
            <w:r>
              <w:rPr>
                <w:color w:val="000000"/>
                <w:vertAlign w:val="subscript"/>
              </w:rPr>
              <w:t xml:space="preserve">min </w:t>
            </w:r>
            <w:r>
              <w:rPr>
                <w:color w:val="000000"/>
              </w:rPr>
              <w:t>= wartość najniższego zużycia energii spośród złożonych ofert niepodlegających odrzuceniu</w:t>
            </w:r>
          </w:p>
          <w:p w14:paraId="299B1AA7" w14:textId="14941ED0"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w:t>
            </w:r>
            <w:r>
              <w:rPr>
                <w:color w:val="000000"/>
                <w:vertAlign w:val="subscript"/>
              </w:rPr>
              <w:t>bad</w:t>
            </w:r>
            <w:proofErr w:type="spellEnd"/>
            <w:r w:rsidR="00A74F6F">
              <w:rPr>
                <w:color w:val="000000"/>
                <w:vertAlign w:val="subscript"/>
              </w:rPr>
              <w:t xml:space="preserve"> </w:t>
            </w:r>
            <w:r>
              <w:rPr>
                <w:color w:val="000000"/>
              </w:rPr>
              <w:t>= wartość zużycia energii</w:t>
            </w:r>
            <w:r w:rsidR="00077856">
              <w:rPr>
                <w:color w:val="000000"/>
              </w:rPr>
              <w:t xml:space="preserve"> </w:t>
            </w:r>
            <w:r>
              <w:rPr>
                <w:color w:val="000000"/>
              </w:rPr>
              <w:t>oferty badanej</w:t>
            </w:r>
          </w:p>
          <w:p w14:paraId="3E5A31D7" w14:textId="77777777" w:rsidR="00997A60" w:rsidRDefault="00997A60" w:rsidP="00EE25E4">
            <w:pPr>
              <w:spacing w:after="0" w:line="240" w:lineRule="auto"/>
              <w:jc w:val="both"/>
              <w:rPr>
                <w:color w:val="000000"/>
              </w:rPr>
            </w:pPr>
          </w:p>
        </w:tc>
      </w:tr>
    </w:tbl>
    <w:p w14:paraId="1993CFBC" w14:textId="5CC9F119"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 zużycia energii lub będzie ono </w:t>
      </w:r>
      <w:r w:rsidR="00A1112F">
        <w:t xml:space="preserve">rozbieżne </w:t>
      </w:r>
      <w:r w:rsidR="00077856" w:rsidRPr="00077856">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zużycia energii </w:t>
      </w:r>
      <w:r w:rsidR="00D73754">
        <w:t xml:space="preserve">i </w:t>
      </w:r>
      <w:r w:rsidR="00077856" w:rsidRPr="00077856">
        <w:t>nie złoży wraz z ofertą dokumentu, o którym mowa w zdaniu poprzednim, otrzyma 0 pkt w zakresie tego kryterium oceny ofert.</w:t>
      </w:r>
    </w:p>
    <w:p w14:paraId="56952BF3" w14:textId="72DD6487" w:rsidR="00997A60" w:rsidRDefault="00077856" w:rsidP="00EE25E4">
      <w:pPr>
        <w:pStyle w:val="Akapitzlist"/>
        <w:numPr>
          <w:ilvl w:val="1"/>
          <w:numId w:val="13"/>
        </w:numPr>
        <w:tabs>
          <w:tab w:val="left" w:pos="425"/>
          <w:tab w:val="left" w:pos="709"/>
        </w:tabs>
        <w:ind w:left="709" w:hanging="283"/>
        <w:jc w:val="both"/>
      </w:pPr>
      <w:r>
        <w:t>w ramach</w:t>
      </w:r>
      <w:r w:rsidR="00FC1EE8">
        <w:t xml:space="preserve"> kryterium </w:t>
      </w:r>
      <w:r w:rsidR="00FC1EE8" w:rsidRPr="00077856">
        <w:rPr>
          <w:b/>
          <w:bCs/>
        </w:rPr>
        <w:t>emisja dwutlenku węgla w cyklu mieszanym w g/km</w:t>
      </w:r>
      <w:r w:rsidR="00FC1EE8" w:rsidRPr="00A1112F">
        <w:t>, dalej jako emisja CO</w:t>
      </w:r>
      <w:r w:rsidR="00FC1EE8" w:rsidRPr="00A1112F">
        <w:rPr>
          <w:vertAlign w:val="subscript"/>
        </w:rPr>
        <w:t>2</w:t>
      </w:r>
      <w:r w:rsidR="00FC1EE8" w:rsidRPr="00A1112F">
        <w:t xml:space="preserve"> </w:t>
      </w:r>
      <w:r>
        <w:rPr>
          <w:b/>
          <w:bCs/>
        </w:rPr>
        <w:t>–</w:t>
      </w:r>
      <w:r w:rsidR="00FC1EE8" w:rsidRPr="00077856">
        <w:rPr>
          <w:b/>
          <w:bCs/>
        </w:rPr>
        <w:t xml:space="preserve"> 3</w:t>
      </w:r>
      <w:r>
        <w:rPr>
          <w:b/>
          <w:bCs/>
        </w:rPr>
        <w:t xml:space="preserve">% </w:t>
      </w:r>
      <w:r w:rsidR="00FC1EE8" w:rsidRPr="00077856">
        <w:rPr>
          <w:b/>
          <w:bCs/>
        </w:rPr>
        <w:t>(</w:t>
      </w:r>
      <w:proofErr w:type="spellStart"/>
      <w:r w:rsidR="00FC1EE8" w:rsidRPr="00077856">
        <w:rPr>
          <w:b/>
          <w:bCs/>
        </w:rPr>
        <w:t>Edw</w:t>
      </w:r>
      <w:proofErr w:type="spellEnd"/>
      <w:r w:rsidR="00FC1EE8" w:rsidRPr="00077856">
        <w:rPr>
          <w:b/>
          <w:bCs/>
        </w:rPr>
        <w:t>)</w:t>
      </w:r>
      <w:r w:rsidR="00FC1EE8">
        <w:t xml:space="preserve">, </w:t>
      </w:r>
      <w:r w:rsidR="00A1112F">
        <w:t>oferta</w:t>
      </w:r>
      <w:r>
        <w:t xml:space="preserve"> może otrzymać maksymalnie 3 pkt. </w:t>
      </w:r>
      <w:r w:rsidR="00A1112F">
        <w:t>Oferta, w której zaoferowana zostanie</w:t>
      </w:r>
      <w:r w:rsidR="00FC1EE8" w:rsidRPr="00077856">
        <w:t xml:space="preserve"> najniżs</w:t>
      </w:r>
      <w:r w:rsidR="00A1112F">
        <w:t xml:space="preserve">za </w:t>
      </w:r>
      <w:r w:rsidR="00FC1EE8" w:rsidRPr="00077856">
        <w:t>emisj</w:t>
      </w:r>
      <w:r w:rsidR="00A1112F">
        <w:t>a</w:t>
      </w:r>
      <w:r w:rsidR="00FC1EE8" w:rsidRPr="00077856">
        <w:t xml:space="preserve"> CO</w:t>
      </w:r>
      <w:r w:rsidR="00FC1EE8" w:rsidRPr="00077856">
        <w:rPr>
          <w:vertAlign w:val="subscript"/>
        </w:rPr>
        <w:t>2</w:t>
      </w:r>
      <w:r w:rsidR="00A1112F">
        <w:t xml:space="preserve"> </w:t>
      </w:r>
      <w:r w:rsidR="00FC1EE8" w:rsidRPr="00077856">
        <w:t xml:space="preserve">otrzyma 3 pkt, natomiast </w:t>
      </w:r>
      <w:r w:rsidR="00A1112F">
        <w:t>pozostałe oferty</w:t>
      </w:r>
      <w:r w:rsidR="00FC1EE8" w:rsidRPr="00077856">
        <w:t xml:space="preserve"> odpowiednio mniej punktów według wzoru:</w:t>
      </w:r>
    </w:p>
    <w:tbl>
      <w:tblPr>
        <w:tblW w:w="9072"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261"/>
      </w:tblGrid>
      <w:tr w:rsidR="00997A60" w14:paraId="038EC21D" w14:textId="77777777" w:rsidTr="00EE25E4">
        <w:trPr>
          <w:cantSplit/>
          <w:trHeight w:val="679"/>
        </w:trPr>
        <w:tc>
          <w:tcPr>
            <w:tcW w:w="3049" w:type="dxa"/>
            <w:tcBorders>
              <w:tl2br w:val="nil"/>
              <w:tr2bl w:val="nil"/>
            </w:tcBorders>
            <w:shd w:val="clear" w:color="auto" w:fill="FFFFFF"/>
            <w:vAlign w:val="center"/>
          </w:tcPr>
          <w:p w14:paraId="33C3DC26"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min</w:t>
            </w:r>
            <w:proofErr w:type="spellEnd"/>
          </w:p>
          <w:p w14:paraId="7BE17398" w14:textId="32667DA3" w:rsidR="00997A60" w:rsidRDefault="00FC1EE8" w:rsidP="00EE25E4">
            <w:pPr>
              <w:spacing w:after="0" w:line="240" w:lineRule="auto"/>
              <w:jc w:val="both"/>
              <w:rPr>
                <w:color w:val="000000"/>
              </w:rPr>
            </w:pPr>
            <w:proofErr w:type="spellStart"/>
            <w:r>
              <w:rPr>
                <w:color w:val="000000"/>
              </w:rPr>
              <w:t>Edw</w:t>
            </w:r>
            <w:proofErr w:type="spellEnd"/>
            <w:r>
              <w:rPr>
                <w:color w:val="000000"/>
              </w:rPr>
              <w:t xml:space="preserve">  =</w:t>
            </w:r>
            <w:r>
              <w:rPr>
                <w:color w:val="000000"/>
              </w:rPr>
              <w:tab/>
              <w:t>————  x 3 pkt,</w:t>
            </w:r>
          </w:p>
          <w:p w14:paraId="131C8D9A"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Edw</w:t>
            </w:r>
            <w:r>
              <w:rPr>
                <w:color w:val="000000"/>
                <w:vertAlign w:val="subscript"/>
              </w:rPr>
              <w:t>bad</w:t>
            </w:r>
            <w:proofErr w:type="spellEnd"/>
          </w:p>
        </w:tc>
        <w:tc>
          <w:tcPr>
            <w:tcW w:w="762" w:type="dxa"/>
            <w:tcBorders>
              <w:tl2br w:val="nil"/>
              <w:tr2bl w:val="nil"/>
            </w:tcBorders>
            <w:shd w:val="clear" w:color="auto" w:fill="FFFFFF"/>
            <w:vAlign w:val="center"/>
          </w:tcPr>
          <w:p w14:paraId="4970F854" w14:textId="77777777" w:rsidR="00997A60" w:rsidRDefault="00FC1EE8" w:rsidP="00EE25E4">
            <w:pPr>
              <w:spacing w:after="0" w:line="240" w:lineRule="auto"/>
              <w:jc w:val="both"/>
              <w:rPr>
                <w:color w:val="000000"/>
              </w:rPr>
            </w:pPr>
            <w:r>
              <w:rPr>
                <w:color w:val="000000"/>
              </w:rPr>
              <w:t>gdzie:</w:t>
            </w:r>
          </w:p>
        </w:tc>
        <w:tc>
          <w:tcPr>
            <w:tcW w:w="5261" w:type="dxa"/>
            <w:tcBorders>
              <w:tl2br w:val="nil"/>
              <w:tr2bl w:val="nil"/>
            </w:tcBorders>
            <w:shd w:val="clear" w:color="auto" w:fill="FFFFFF"/>
            <w:vAlign w:val="center"/>
          </w:tcPr>
          <w:p w14:paraId="0DF38EE0" w14:textId="77777777" w:rsidR="00997A60" w:rsidRDefault="00FC1EE8" w:rsidP="00EE25E4">
            <w:pPr>
              <w:spacing w:after="0" w:line="240" w:lineRule="auto"/>
              <w:jc w:val="both"/>
              <w:rPr>
                <w:color w:val="000000"/>
              </w:rPr>
            </w:pPr>
            <w:r>
              <w:rPr>
                <w:color w:val="000000"/>
              </w:rPr>
              <w:tab/>
            </w:r>
          </w:p>
          <w:p w14:paraId="53BCF17A" w14:textId="01E5082E" w:rsidR="00997A60" w:rsidRDefault="00FC1EE8" w:rsidP="00EE25E4">
            <w:pPr>
              <w:spacing w:after="0" w:line="240" w:lineRule="auto"/>
              <w:jc w:val="both"/>
              <w:rPr>
                <w:color w:val="000000"/>
              </w:rPr>
            </w:pPr>
            <w:r>
              <w:rPr>
                <w:color w:val="000000"/>
              </w:rPr>
              <w:t xml:space="preserve">      </w:t>
            </w:r>
            <w:proofErr w:type="spellStart"/>
            <w:r>
              <w:rPr>
                <w:color w:val="000000"/>
              </w:rPr>
              <w:t>Edw</w:t>
            </w:r>
            <w:proofErr w:type="spellEnd"/>
            <w:r>
              <w:rPr>
                <w:color w:val="000000"/>
              </w:rPr>
              <w:t xml:space="preserve"> = liczba punktów </w:t>
            </w:r>
            <w:r w:rsidR="00D73754">
              <w:rPr>
                <w:color w:val="000000"/>
              </w:rPr>
              <w:t>w</w:t>
            </w:r>
            <w:r>
              <w:rPr>
                <w:color w:val="000000"/>
              </w:rPr>
              <w:t xml:space="preserve"> kryterium </w:t>
            </w:r>
            <w:r>
              <w:t>emisja CO</w:t>
            </w:r>
            <w:r>
              <w:rPr>
                <w:vertAlign w:val="subscript"/>
              </w:rPr>
              <w:t>2</w:t>
            </w:r>
          </w:p>
          <w:p w14:paraId="1288C7D0" w14:textId="11A37D30"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Edw</w:t>
            </w:r>
            <w:r>
              <w:rPr>
                <w:color w:val="000000"/>
                <w:vertAlign w:val="subscript"/>
              </w:rPr>
              <w:t>min</w:t>
            </w:r>
            <w:proofErr w:type="spellEnd"/>
            <w:r>
              <w:rPr>
                <w:color w:val="000000"/>
                <w:vertAlign w:val="subscript"/>
              </w:rPr>
              <w:t xml:space="preserve"> </w:t>
            </w:r>
            <w:r>
              <w:rPr>
                <w:color w:val="000000"/>
              </w:rPr>
              <w:t xml:space="preserve">= wartość najniższej </w:t>
            </w:r>
            <w:r>
              <w:t>emisji CO</w:t>
            </w:r>
            <w:r>
              <w:rPr>
                <w:vertAlign w:val="subscript"/>
              </w:rPr>
              <w:t>2</w:t>
            </w:r>
            <w:r>
              <w:rPr>
                <w:color w:val="000000"/>
              </w:rPr>
              <w:t xml:space="preserve"> spośród złożonych ofert niepodlegających odrzuceniu</w:t>
            </w:r>
          </w:p>
          <w:p w14:paraId="24663F05" w14:textId="0A7663D4"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Edw</w:t>
            </w:r>
            <w:r>
              <w:rPr>
                <w:color w:val="000000"/>
                <w:vertAlign w:val="subscript"/>
              </w:rPr>
              <w:t>bad</w:t>
            </w:r>
            <w:proofErr w:type="spellEnd"/>
            <w:r w:rsidR="00A1112F">
              <w:rPr>
                <w:color w:val="000000"/>
                <w:vertAlign w:val="subscript"/>
              </w:rPr>
              <w:t xml:space="preserve"> </w:t>
            </w:r>
            <w:r>
              <w:rPr>
                <w:color w:val="000000"/>
              </w:rPr>
              <w:t xml:space="preserve">= wartość </w:t>
            </w:r>
            <w:r>
              <w:t>emisji CO</w:t>
            </w:r>
            <w:r>
              <w:rPr>
                <w:vertAlign w:val="subscript"/>
              </w:rPr>
              <w:t>2</w:t>
            </w:r>
            <w:r>
              <w:rPr>
                <w:color w:val="000000"/>
              </w:rPr>
              <w:t xml:space="preserve"> oferty badanej</w:t>
            </w:r>
          </w:p>
          <w:p w14:paraId="018C6F19" w14:textId="77777777" w:rsidR="00997A60" w:rsidRDefault="00997A60" w:rsidP="00EE25E4">
            <w:pPr>
              <w:spacing w:after="0" w:line="240" w:lineRule="auto"/>
              <w:jc w:val="both"/>
              <w:rPr>
                <w:color w:val="000000"/>
              </w:rPr>
            </w:pPr>
          </w:p>
        </w:tc>
      </w:tr>
    </w:tbl>
    <w:p w14:paraId="61874005" w14:textId="78FFD141" w:rsidR="00A1112F" w:rsidRPr="00A1112F"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CO</w:t>
      </w:r>
      <w:r>
        <w:rPr>
          <w:b/>
          <w:bCs/>
          <w:vertAlign w:val="subscript"/>
        </w:rPr>
        <w:t>2</w:t>
      </w:r>
      <w:r>
        <w:rPr>
          <w:b/>
          <w:bCs/>
        </w:rPr>
        <w:t xml:space="preserve"> </w:t>
      </w:r>
      <w:r>
        <w:t xml:space="preserve">lub będzie ona </w:t>
      </w:r>
      <w:r w:rsidR="00A1112F" w:rsidRPr="00A1112F">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t xml:space="preserve">świadectwa </w:t>
      </w:r>
      <w:r w:rsidR="00D73754" w:rsidRPr="00D73754">
        <w:t xml:space="preserve">homologacji typu WE </w:t>
      </w:r>
      <w:r w:rsidR="00A1112F" w:rsidRPr="00A1112F">
        <w:t xml:space="preserve">lub w/w dokumentu. Jeżeli Wykonawca nie </w:t>
      </w:r>
      <w:r w:rsidR="00DB214A" w:rsidRPr="00DB214A">
        <w:t>wskaże w ofercie</w:t>
      </w:r>
      <w:r w:rsidR="00DB214A" w:rsidRPr="00DB214A">
        <w:rPr>
          <w:b/>
          <w:bCs/>
        </w:rPr>
        <w:t xml:space="preserve"> </w:t>
      </w:r>
      <w:r w:rsidR="00DB214A" w:rsidRPr="00DB214A">
        <w:t>emisji CO</w:t>
      </w:r>
      <w:r w:rsidR="00DB214A" w:rsidRPr="00DB214A">
        <w:rPr>
          <w:vertAlign w:val="subscript"/>
        </w:rPr>
        <w:t>2</w:t>
      </w:r>
      <w:r w:rsidR="00DB214A" w:rsidRPr="00DB214A">
        <w:t xml:space="preserve"> i nie </w:t>
      </w:r>
      <w:r w:rsidR="00A1112F" w:rsidRPr="00DB214A">
        <w:t>złoży</w:t>
      </w:r>
      <w:r w:rsidR="00A1112F" w:rsidRPr="00A1112F">
        <w:t xml:space="preserve"> wraz z ofertą dokumentu, o którym mowa w zdaniu poprzednim, otrzyma 0 pkt w zakresie tego kryterium oceny ofert.</w:t>
      </w:r>
    </w:p>
    <w:p w14:paraId="652E743A" w14:textId="7532E803" w:rsidR="00997A60" w:rsidRPr="00A1112F" w:rsidRDefault="00A1112F" w:rsidP="00EE25E4">
      <w:pPr>
        <w:pStyle w:val="Akapitzlist"/>
        <w:numPr>
          <w:ilvl w:val="1"/>
          <w:numId w:val="13"/>
        </w:numPr>
        <w:tabs>
          <w:tab w:val="left" w:pos="709"/>
        </w:tabs>
        <w:ind w:left="709" w:hanging="283"/>
        <w:jc w:val="both"/>
      </w:pPr>
      <w:r>
        <w:t>w ramach kryterium</w:t>
      </w:r>
      <w:r w:rsidR="00FC1EE8">
        <w:t xml:space="preserve"> </w:t>
      </w:r>
      <w:r w:rsidR="00FC1EE8" w:rsidRPr="00A1112F">
        <w:rPr>
          <w:b/>
          <w:bCs/>
        </w:rPr>
        <w:t>emisja zanieczyszczeń: tlenków azotu, cząstek stałych oraz węglowodorów w mg/km</w:t>
      </w:r>
      <w:r w:rsidR="00FC1EE8" w:rsidRPr="00A1112F">
        <w:t>, dalej jako emisja zanieczyszczeń</w:t>
      </w:r>
      <w:r w:rsidR="00D73754">
        <w:t xml:space="preserve"> </w:t>
      </w:r>
      <w:r>
        <w:t>–</w:t>
      </w:r>
      <w:r w:rsidR="00FC1EE8" w:rsidRPr="00A1112F">
        <w:t xml:space="preserve"> </w:t>
      </w:r>
      <w:r w:rsidR="00FC1EE8" w:rsidRPr="00A1112F">
        <w:rPr>
          <w:b/>
          <w:bCs/>
        </w:rPr>
        <w:t>2</w:t>
      </w:r>
      <w:r w:rsidRPr="00A1112F">
        <w:rPr>
          <w:b/>
          <w:bCs/>
        </w:rPr>
        <w:t xml:space="preserve">% </w:t>
      </w:r>
      <w:r w:rsidR="00FC1EE8" w:rsidRPr="00A1112F">
        <w:rPr>
          <w:b/>
          <w:bCs/>
        </w:rPr>
        <w:t>(</w:t>
      </w:r>
      <w:proofErr w:type="spellStart"/>
      <w:r w:rsidR="00FC1EE8" w:rsidRPr="00A1112F">
        <w:rPr>
          <w:b/>
          <w:bCs/>
        </w:rPr>
        <w:t>Ez</w:t>
      </w:r>
      <w:proofErr w:type="spellEnd"/>
      <w:r w:rsidR="00FC1EE8" w:rsidRPr="00A1112F">
        <w:rPr>
          <w:b/>
          <w:bCs/>
        </w:rPr>
        <w:t>)</w:t>
      </w:r>
      <w:r w:rsidR="00FC1EE8" w:rsidRPr="00A1112F">
        <w:t xml:space="preserve">, </w:t>
      </w:r>
      <w:r>
        <w:t xml:space="preserve">oferta może otrzymać maksymalnie 2 pkt. Oferta, w której zaoferowana zostanie </w:t>
      </w:r>
      <w:r w:rsidR="00FC1EE8" w:rsidRPr="00A1112F">
        <w:t>najniższ</w:t>
      </w:r>
      <w:r>
        <w:t>a</w:t>
      </w:r>
      <w:r w:rsidR="00FC1EE8" w:rsidRPr="00A1112F">
        <w:t xml:space="preserve"> emisj</w:t>
      </w:r>
      <w:r>
        <w:t>a</w:t>
      </w:r>
      <w:r w:rsidR="00FC1EE8" w:rsidRPr="00A1112F">
        <w:t xml:space="preserve"> zanieczyszczeń</w:t>
      </w:r>
      <w:r>
        <w:t xml:space="preserve"> </w:t>
      </w:r>
      <w:r w:rsidR="00FC1EE8" w:rsidRPr="00A1112F">
        <w:t xml:space="preserve">otrzyma 2 pkt, natomiast </w:t>
      </w:r>
      <w:r>
        <w:t>pozostałe oferty</w:t>
      </w:r>
      <w:r w:rsidR="00FC1EE8" w:rsidRPr="00A1112F">
        <w:t xml:space="preserve"> odpowiednio mniej punktów według wzoru:</w:t>
      </w:r>
    </w:p>
    <w:tbl>
      <w:tblPr>
        <w:tblW w:w="9214"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5403"/>
      </w:tblGrid>
      <w:tr w:rsidR="00997A60" w14:paraId="55BE01D6" w14:textId="77777777" w:rsidTr="00EE25E4">
        <w:trPr>
          <w:cantSplit/>
          <w:trHeight w:val="679"/>
        </w:trPr>
        <w:tc>
          <w:tcPr>
            <w:tcW w:w="3049" w:type="dxa"/>
            <w:tcBorders>
              <w:tl2br w:val="nil"/>
              <w:tr2bl w:val="nil"/>
            </w:tcBorders>
            <w:shd w:val="clear" w:color="auto" w:fill="FFFFFF"/>
            <w:vAlign w:val="center"/>
          </w:tcPr>
          <w:p w14:paraId="422DB414" w14:textId="77777777" w:rsidR="00997A60" w:rsidRDefault="00FC1EE8" w:rsidP="00EE25E4">
            <w:pPr>
              <w:spacing w:after="0" w:line="240" w:lineRule="auto"/>
              <w:jc w:val="both"/>
              <w:rPr>
                <w:color w:val="000000"/>
              </w:rPr>
            </w:pPr>
            <w:r>
              <w:rPr>
                <w:color w:val="000000"/>
              </w:rPr>
              <w:lastRenderedPageBreak/>
              <w:tab/>
              <w:t xml:space="preserve">  </w:t>
            </w:r>
            <w:proofErr w:type="spellStart"/>
            <w:r>
              <w:rPr>
                <w:color w:val="000000"/>
              </w:rPr>
              <w:t>Ez</w:t>
            </w:r>
            <w:r>
              <w:rPr>
                <w:color w:val="000000"/>
                <w:vertAlign w:val="subscript"/>
              </w:rPr>
              <w:t>min</w:t>
            </w:r>
            <w:proofErr w:type="spellEnd"/>
          </w:p>
          <w:p w14:paraId="6E624964" w14:textId="6FDD0D7C" w:rsidR="00997A60" w:rsidRDefault="00FC1EE8" w:rsidP="00EE25E4">
            <w:pPr>
              <w:spacing w:after="0" w:line="240" w:lineRule="auto"/>
              <w:jc w:val="both"/>
              <w:rPr>
                <w:color w:val="000000"/>
              </w:rPr>
            </w:pPr>
            <w:proofErr w:type="spellStart"/>
            <w:r>
              <w:rPr>
                <w:color w:val="000000"/>
              </w:rPr>
              <w:t>Ez</w:t>
            </w:r>
            <w:proofErr w:type="spellEnd"/>
            <w:r>
              <w:rPr>
                <w:color w:val="000000"/>
              </w:rPr>
              <w:t xml:space="preserve">  =</w:t>
            </w:r>
            <w:r>
              <w:rPr>
                <w:color w:val="000000"/>
              </w:rPr>
              <w:tab/>
              <w:t>————  x 2 pkt,</w:t>
            </w:r>
          </w:p>
          <w:p w14:paraId="4BA67145" w14:textId="77777777" w:rsidR="00997A60" w:rsidRDefault="00FC1EE8" w:rsidP="00EE25E4">
            <w:pPr>
              <w:spacing w:after="0" w:line="240" w:lineRule="auto"/>
              <w:jc w:val="both"/>
              <w:rPr>
                <w:color w:val="000000"/>
              </w:rPr>
            </w:pPr>
            <w:r>
              <w:rPr>
                <w:color w:val="000000"/>
              </w:rPr>
              <w:tab/>
              <w:t xml:space="preserve">  </w:t>
            </w:r>
            <w:proofErr w:type="spellStart"/>
            <w:r>
              <w:rPr>
                <w:color w:val="000000"/>
              </w:rPr>
              <w:t>Ez</w:t>
            </w:r>
            <w:r>
              <w:rPr>
                <w:color w:val="000000"/>
                <w:vertAlign w:val="subscript"/>
              </w:rPr>
              <w:t>bad</w:t>
            </w:r>
            <w:proofErr w:type="spellEnd"/>
          </w:p>
        </w:tc>
        <w:tc>
          <w:tcPr>
            <w:tcW w:w="762" w:type="dxa"/>
            <w:tcBorders>
              <w:tl2br w:val="nil"/>
              <w:tr2bl w:val="nil"/>
            </w:tcBorders>
            <w:shd w:val="clear" w:color="auto" w:fill="FFFFFF"/>
            <w:vAlign w:val="center"/>
          </w:tcPr>
          <w:p w14:paraId="4B544C4B" w14:textId="77777777" w:rsidR="00997A60" w:rsidRDefault="00FC1EE8" w:rsidP="00EE25E4">
            <w:pPr>
              <w:spacing w:after="0" w:line="240" w:lineRule="auto"/>
              <w:jc w:val="both"/>
              <w:rPr>
                <w:color w:val="000000"/>
              </w:rPr>
            </w:pPr>
            <w:r>
              <w:rPr>
                <w:color w:val="000000"/>
              </w:rPr>
              <w:t>gdzie:</w:t>
            </w:r>
          </w:p>
        </w:tc>
        <w:tc>
          <w:tcPr>
            <w:tcW w:w="5403" w:type="dxa"/>
            <w:tcBorders>
              <w:tl2br w:val="nil"/>
              <w:tr2bl w:val="nil"/>
            </w:tcBorders>
            <w:shd w:val="clear" w:color="auto" w:fill="FFFFFF"/>
            <w:vAlign w:val="center"/>
          </w:tcPr>
          <w:p w14:paraId="7BFFA61F" w14:textId="77777777" w:rsidR="00997A60" w:rsidRDefault="00FC1EE8" w:rsidP="00EE25E4">
            <w:pPr>
              <w:spacing w:after="0" w:line="240" w:lineRule="auto"/>
              <w:jc w:val="both"/>
              <w:rPr>
                <w:color w:val="000000"/>
              </w:rPr>
            </w:pPr>
            <w:r>
              <w:rPr>
                <w:color w:val="000000"/>
              </w:rPr>
              <w:tab/>
            </w:r>
          </w:p>
          <w:p w14:paraId="1994DB0A" w14:textId="73029912" w:rsidR="00997A60" w:rsidRDefault="00FC1EE8" w:rsidP="00EE25E4">
            <w:pPr>
              <w:spacing w:after="0" w:line="240" w:lineRule="auto"/>
              <w:jc w:val="both"/>
              <w:rPr>
                <w:color w:val="000000"/>
              </w:rPr>
            </w:pPr>
            <w:r>
              <w:rPr>
                <w:color w:val="000000"/>
              </w:rPr>
              <w:t xml:space="preserve">      </w:t>
            </w:r>
            <w:proofErr w:type="spellStart"/>
            <w:r>
              <w:rPr>
                <w:color w:val="000000"/>
              </w:rPr>
              <w:t>Ez</w:t>
            </w:r>
            <w:proofErr w:type="spellEnd"/>
            <w:r>
              <w:rPr>
                <w:color w:val="000000"/>
              </w:rPr>
              <w:t xml:space="preserve"> = liczba punktów za kryterium </w:t>
            </w:r>
            <w:r>
              <w:t>emisja zanieczyszczeń</w:t>
            </w:r>
          </w:p>
          <w:p w14:paraId="7EA3D822" w14:textId="3CFBC017" w:rsidR="00997A60" w:rsidRDefault="00FC1EE8" w:rsidP="00EE25E4">
            <w:pPr>
              <w:spacing w:after="0" w:line="240" w:lineRule="auto"/>
              <w:ind w:left="360" w:hangingChars="150" w:hanging="360"/>
              <w:jc w:val="both"/>
              <w:rPr>
                <w:color w:val="000000"/>
              </w:rPr>
            </w:pPr>
            <w:r>
              <w:rPr>
                <w:color w:val="000000"/>
              </w:rPr>
              <w:tab/>
            </w:r>
            <w:proofErr w:type="spellStart"/>
            <w:r>
              <w:rPr>
                <w:color w:val="000000"/>
              </w:rPr>
              <w:t>Ez</w:t>
            </w:r>
            <w:r>
              <w:rPr>
                <w:color w:val="000000"/>
                <w:vertAlign w:val="subscript"/>
              </w:rPr>
              <w:t>min</w:t>
            </w:r>
            <w:proofErr w:type="spellEnd"/>
            <w:r>
              <w:rPr>
                <w:color w:val="000000"/>
                <w:vertAlign w:val="subscript"/>
              </w:rPr>
              <w:t xml:space="preserve"> </w:t>
            </w:r>
            <w:r>
              <w:rPr>
                <w:color w:val="000000"/>
              </w:rPr>
              <w:t xml:space="preserve">= wartość najniższej </w:t>
            </w:r>
            <w:r>
              <w:t>emisji zanieczyszczeń</w:t>
            </w:r>
            <w:r>
              <w:rPr>
                <w:color w:val="000000"/>
              </w:rPr>
              <w:t xml:space="preserve"> spośród złożonych ofert niepodlegających odrzuceniu</w:t>
            </w:r>
          </w:p>
          <w:p w14:paraId="6EA797D2" w14:textId="694D30DB" w:rsidR="00997A60" w:rsidRDefault="00FC1EE8" w:rsidP="00EE25E4">
            <w:pPr>
              <w:tabs>
                <w:tab w:val="left" w:pos="240"/>
              </w:tabs>
              <w:spacing w:after="0" w:line="240" w:lineRule="auto"/>
              <w:ind w:leftChars="100" w:left="240" w:firstLineChars="50" w:firstLine="120"/>
              <w:jc w:val="both"/>
              <w:rPr>
                <w:color w:val="000000"/>
              </w:rPr>
            </w:pPr>
            <w:proofErr w:type="spellStart"/>
            <w:r>
              <w:rPr>
                <w:color w:val="000000"/>
              </w:rPr>
              <w:t>Ez</w:t>
            </w:r>
            <w:r>
              <w:rPr>
                <w:color w:val="000000"/>
                <w:vertAlign w:val="subscript"/>
              </w:rPr>
              <w:t>bad</w:t>
            </w:r>
            <w:proofErr w:type="spellEnd"/>
            <w:r>
              <w:rPr>
                <w:color w:val="000000"/>
              </w:rPr>
              <w:t xml:space="preserve">= wartość </w:t>
            </w:r>
            <w:r>
              <w:t>emisji zanieczyszczeń</w:t>
            </w:r>
            <w:r>
              <w:rPr>
                <w:color w:val="000000"/>
              </w:rPr>
              <w:t xml:space="preserve"> oferty badanej</w:t>
            </w:r>
          </w:p>
          <w:p w14:paraId="2E783CB7" w14:textId="77777777" w:rsidR="00997A60" w:rsidRDefault="00997A60" w:rsidP="00EE25E4">
            <w:pPr>
              <w:spacing w:after="0" w:line="240" w:lineRule="auto"/>
              <w:jc w:val="both"/>
              <w:rPr>
                <w:color w:val="000000"/>
              </w:rPr>
            </w:pPr>
          </w:p>
        </w:tc>
      </w:tr>
    </w:tbl>
    <w:p w14:paraId="755941E9" w14:textId="3C70129C" w:rsidR="00997A60" w:rsidRDefault="00FC1EE8" w:rsidP="00EE25E4">
      <w:pPr>
        <w:tabs>
          <w:tab w:val="left" w:pos="709"/>
        </w:tabs>
        <w:spacing w:after="0" w:line="240" w:lineRule="auto"/>
        <w:ind w:left="709"/>
        <w:jc w:val="both"/>
      </w:pPr>
      <w:r>
        <w:t xml:space="preserve">W przypadku, gdy Wykonawca nie </w:t>
      </w:r>
      <w:r w:rsidR="00A1112F">
        <w:t>wskaże</w:t>
      </w:r>
      <w:r>
        <w:t xml:space="preserve"> w ofercie</w:t>
      </w:r>
      <w:r>
        <w:rPr>
          <w:b/>
          <w:bCs/>
        </w:rPr>
        <w:t xml:space="preserve"> </w:t>
      </w:r>
      <w:r>
        <w:t>emisji zanieczyszczeń</w:t>
      </w:r>
      <w:r>
        <w:rPr>
          <w:b/>
          <w:bCs/>
        </w:rPr>
        <w:t xml:space="preserve"> </w:t>
      </w:r>
      <w:r>
        <w:t xml:space="preserve">lub będzie ona rozbieżna z </w:t>
      </w:r>
      <w:r w:rsidR="00A1112F" w:rsidRPr="00A1112F">
        <w:t>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w:t>
      </w:r>
      <w:r w:rsidR="00A1112F">
        <w:t xml:space="preserve"> </w:t>
      </w:r>
      <w:r w:rsidR="00A1112F" w:rsidRPr="00A1112F">
        <w:t xml:space="preserve">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bookmarkStart w:id="9" w:name="_Hlk75676883"/>
      <w:r w:rsidR="00A1112F" w:rsidRPr="00A1112F">
        <w:t xml:space="preserve">świadectwa </w:t>
      </w:r>
      <w:r w:rsidR="00D73754" w:rsidRPr="00D73754">
        <w:t xml:space="preserve">homologacji typu WE </w:t>
      </w:r>
      <w:bookmarkEnd w:id="9"/>
      <w:r w:rsidR="00A1112F" w:rsidRPr="00A1112F">
        <w:t xml:space="preserve">lub w/w dokumentu. Jeżeli Wykonawca </w:t>
      </w:r>
      <w:r w:rsidR="00D73754">
        <w:t xml:space="preserve">nie wskaże w ofercie emisji zanieczyszczeń i </w:t>
      </w:r>
      <w:r w:rsidR="00A1112F" w:rsidRPr="00A1112F">
        <w:t>nie złoży wraz z ofertą dokumentu, o którym mowa w zdaniu poprzednim, otrzyma 0 pkt w zakresie tego kryterium oceny ofert.</w:t>
      </w:r>
    </w:p>
    <w:p w14:paraId="7C42794F" w14:textId="46455623" w:rsidR="00997A60" w:rsidRDefault="00FC1EE8" w:rsidP="00EE25E4">
      <w:pPr>
        <w:pStyle w:val="pkt"/>
        <w:numPr>
          <w:ilvl w:val="0"/>
          <w:numId w:val="34"/>
        </w:numPr>
        <w:spacing w:before="0" w:after="0"/>
        <w:ind w:left="426" w:hanging="426"/>
        <w:rPr>
          <w:szCs w:val="24"/>
        </w:rPr>
      </w:pPr>
      <w:r>
        <w:rPr>
          <w:szCs w:val="24"/>
        </w:rPr>
        <w:t>Punktacja przyznawana ofertom w poszczególnych kryteriach oceny ofert będzie liczona z dokładnością do dwóch miejsc po przecinku, zgodnie z zasadami arytmetyki.</w:t>
      </w:r>
    </w:p>
    <w:p w14:paraId="330204FE" w14:textId="485E70DF" w:rsidR="006F5DB1" w:rsidRDefault="00FC1EE8" w:rsidP="00EE25E4">
      <w:pPr>
        <w:pStyle w:val="pkt"/>
        <w:numPr>
          <w:ilvl w:val="0"/>
          <w:numId w:val="34"/>
        </w:numPr>
        <w:spacing w:before="0" w:after="0"/>
        <w:ind w:left="426" w:hanging="426"/>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w:t>
      </w:r>
      <w:r w:rsidR="0044061A">
        <w:rPr>
          <w:rFonts w:eastAsia="Times New Roman"/>
          <w:szCs w:val="24"/>
        </w:rPr>
        <w:t xml:space="preserve"> łączną</w:t>
      </w:r>
      <w:r>
        <w:rPr>
          <w:rFonts w:eastAsia="Times New Roman"/>
          <w:szCs w:val="24"/>
        </w:rPr>
        <w:t xml:space="preserve"> liczbę punktów </w:t>
      </w:r>
      <w:r w:rsidR="0044061A">
        <w:rPr>
          <w:rFonts w:eastAsia="Times New Roman"/>
          <w:szCs w:val="24"/>
        </w:rPr>
        <w:t>w ramach kryteriów oceny ofert (</w:t>
      </w:r>
      <w:r>
        <w:rPr>
          <w:rFonts w:eastAsia="Times New Roman"/>
          <w:b/>
          <w:szCs w:val="24"/>
        </w:rPr>
        <w:t xml:space="preserve">S = C + M + P  + E + </w:t>
      </w:r>
      <w:proofErr w:type="spellStart"/>
      <w:r>
        <w:rPr>
          <w:rFonts w:eastAsia="Times New Roman"/>
          <w:b/>
          <w:szCs w:val="24"/>
        </w:rPr>
        <w:t>Edw</w:t>
      </w:r>
      <w:proofErr w:type="spellEnd"/>
      <w:r>
        <w:rPr>
          <w:rFonts w:eastAsia="Times New Roman"/>
          <w:b/>
          <w:szCs w:val="24"/>
        </w:rPr>
        <w:t xml:space="preserve"> + </w:t>
      </w:r>
      <w:proofErr w:type="spellStart"/>
      <w:r>
        <w:rPr>
          <w:rFonts w:eastAsia="Times New Roman"/>
          <w:b/>
          <w:szCs w:val="24"/>
        </w:rPr>
        <w:t>Ez</w:t>
      </w:r>
      <w:proofErr w:type="spellEnd"/>
      <w:r w:rsidR="0044061A">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AD1C27">
      <w:pPr>
        <w:pStyle w:val="Akapitzlist"/>
        <w:numPr>
          <w:ilvl w:val="0"/>
          <w:numId w:val="25"/>
        </w:numPr>
        <w:spacing w:line="312" w:lineRule="auto"/>
        <w:ind w:left="284" w:hanging="426"/>
        <w:jc w:val="both"/>
        <w:rPr>
          <w:b/>
        </w:rPr>
      </w:pPr>
      <w:r w:rsidRPr="00697320">
        <w:rPr>
          <w:b/>
        </w:rPr>
        <w:t>WYMAGANIA DOTYCZĄCE WADIUM</w:t>
      </w:r>
    </w:p>
    <w:p w14:paraId="02B4D90D" w14:textId="1B62597F" w:rsidR="008555F7" w:rsidRDefault="00FC1EE8" w:rsidP="00EE25E4">
      <w:pPr>
        <w:pStyle w:val="pkt"/>
        <w:numPr>
          <w:ilvl w:val="0"/>
          <w:numId w:val="21"/>
        </w:numPr>
        <w:spacing w:before="0" w:after="0"/>
        <w:ind w:left="426" w:hanging="426"/>
        <w:rPr>
          <w:szCs w:val="24"/>
        </w:rPr>
      </w:pPr>
      <w:r>
        <w:rPr>
          <w:szCs w:val="24"/>
        </w:rPr>
        <w:t xml:space="preserve">Wykonawca zobowiązany jest do zabezpieczenia swojej oferty wadium w wysokości: </w:t>
      </w:r>
      <w:r w:rsidR="00957900">
        <w:rPr>
          <w:b/>
          <w:bCs/>
          <w:szCs w:val="24"/>
        </w:rPr>
        <w:t>10</w:t>
      </w:r>
      <w:r>
        <w:rPr>
          <w:b/>
          <w:bCs/>
          <w:szCs w:val="24"/>
        </w:rPr>
        <w:t xml:space="preserve">.000,00 </w:t>
      </w:r>
      <w:r>
        <w:rPr>
          <w:b/>
          <w:szCs w:val="24"/>
        </w:rPr>
        <w:t>zł</w:t>
      </w:r>
      <w:r>
        <w:rPr>
          <w:szCs w:val="24"/>
        </w:rPr>
        <w:t xml:space="preserve"> (słownie: </w:t>
      </w:r>
      <w:r w:rsidR="00957900">
        <w:rPr>
          <w:szCs w:val="24"/>
        </w:rPr>
        <w:t>dziesięć</w:t>
      </w:r>
      <w:bookmarkStart w:id="10" w:name="_GoBack"/>
      <w:bookmarkEnd w:id="10"/>
      <w:r>
        <w:rPr>
          <w:szCs w:val="24"/>
        </w:rPr>
        <w:t xml:space="preserve"> tysięcy złotych 00/100)</w:t>
      </w:r>
      <w:r w:rsidR="00C63F5D">
        <w:rPr>
          <w:szCs w:val="24"/>
        </w:rPr>
        <w:t xml:space="preserve">. </w:t>
      </w:r>
    </w:p>
    <w:p w14:paraId="6D04DAE1" w14:textId="77777777" w:rsidR="008555F7" w:rsidRDefault="00FC1EE8" w:rsidP="00EE25E4">
      <w:pPr>
        <w:pStyle w:val="pkt"/>
        <w:numPr>
          <w:ilvl w:val="0"/>
          <w:numId w:val="21"/>
        </w:numPr>
        <w:spacing w:before="0" w:after="0"/>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EE25E4">
      <w:pPr>
        <w:pStyle w:val="pkt"/>
        <w:numPr>
          <w:ilvl w:val="0"/>
          <w:numId w:val="21"/>
        </w:numPr>
        <w:spacing w:before="0" w:after="0"/>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EE25E4">
      <w:pPr>
        <w:pStyle w:val="Akapitzlist"/>
        <w:numPr>
          <w:ilvl w:val="1"/>
          <w:numId w:val="35"/>
        </w:numPr>
        <w:ind w:left="709" w:hanging="283"/>
        <w:jc w:val="both"/>
        <w:rPr>
          <w:bCs/>
        </w:rPr>
      </w:pPr>
      <w:r w:rsidRPr="008555F7">
        <w:rPr>
          <w:bCs/>
        </w:rPr>
        <w:t>pieniądzu</w:t>
      </w:r>
      <w:r w:rsidR="008555F7" w:rsidRPr="008555F7">
        <w:rPr>
          <w:bCs/>
        </w:rPr>
        <w:t>,</w:t>
      </w:r>
    </w:p>
    <w:p w14:paraId="677F3544" w14:textId="23B85E86" w:rsidR="008555F7" w:rsidRPr="008555F7" w:rsidRDefault="00FC1EE8" w:rsidP="00EE25E4">
      <w:pPr>
        <w:pStyle w:val="Akapitzlist"/>
        <w:numPr>
          <w:ilvl w:val="1"/>
          <w:numId w:val="35"/>
        </w:numPr>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EE25E4">
      <w:pPr>
        <w:pStyle w:val="Akapitzlist"/>
        <w:numPr>
          <w:ilvl w:val="1"/>
          <w:numId w:val="35"/>
        </w:numPr>
        <w:ind w:left="709" w:hanging="283"/>
        <w:jc w:val="both"/>
        <w:rPr>
          <w:bCs/>
        </w:rPr>
      </w:pPr>
      <w:r w:rsidRPr="008555F7">
        <w:rPr>
          <w:bCs/>
        </w:rPr>
        <w:t>gwarancjach ubezpieczeniowych</w:t>
      </w:r>
      <w:r w:rsidR="008555F7">
        <w:rPr>
          <w:bCs/>
        </w:rPr>
        <w:t>,</w:t>
      </w:r>
    </w:p>
    <w:p w14:paraId="4A93B96E" w14:textId="60346D54" w:rsidR="00997A60" w:rsidRPr="00945B87" w:rsidRDefault="00FC1EE8" w:rsidP="00EE25E4">
      <w:pPr>
        <w:pStyle w:val="Akapitzlist"/>
        <w:numPr>
          <w:ilvl w:val="1"/>
          <w:numId w:val="35"/>
        </w:numPr>
        <w:ind w:left="709" w:hanging="283"/>
        <w:jc w:val="both"/>
      </w:pPr>
      <w:r>
        <w:t xml:space="preserve">poręczeniach udzielanych przez podmioty, o których mowa w art. 6b ust. 5 pkt 2 ustawy z dnia 9 listopada 2000 r. o utworzeniu Polskiej Agencji Rozwoju Przedsiębiorczości </w:t>
      </w:r>
      <w:r w:rsidRPr="00945B87">
        <w:t>(Dz. U. z 2020 r. poz. 299</w:t>
      </w:r>
      <w:r w:rsidR="008555F7" w:rsidRPr="00945B87">
        <w:t xml:space="preserve"> </w:t>
      </w:r>
      <w:proofErr w:type="spellStart"/>
      <w:r w:rsidR="008555F7" w:rsidRPr="00945B87">
        <w:t>t.j</w:t>
      </w:r>
      <w:proofErr w:type="spellEnd"/>
      <w:r w:rsidR="008555F7" w:rsidRPr="00945B87">
        <w:t>.</w:t>
      </w:r>
      <w:r w:rsidRPr="00945B87">
        <w:t>).</w:t>
      </w:r>
    </w:p>
    <w:p w14:paraId="203D937E" w14:textId="2438580A" w:rsidR="00997A60" w:rsidRPr="00945B87" w:rsidRDefault="00FC1EE8" w:rsidP="00EE25E4">
      <w:pPr>
        <w:numPr>
          <w:ilvl w:val="0"/>
          <w:numId w:val="21"/>
        </w:numPr>
        <w:tabs>
          <w:tab w:val="left" w:pos="426"/>
        </w:tabs>
        <w:spacing w:after="0" w:line="240"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NBP Oddział Okr</w:t>
      </w:r>
      <w:r w:rsidRPr="00945B87">
        <w:rPr>
          <w:rFonts w:eastAsia="TimesNewRoman"/>
          <w:b/>
          <w:sz w:val="22"/>
        </w:rPr>
        <w:t>ę</w:t>
      </w:r>
      <w:r w:rsidRPr="00945B87">
        <w:rPr>
          <w:b/>
          <w:bCs/>
          <w:sz w:val="22"/>
        </w:rPr>
        <w:t>gowy w Białymstoku</w:t>
      </w:r>
    </w:p>
    <w:p w14:paraId="072BD086" w14:textId="77777777" w:rsidR="00044248" w:rsidRPr="00945B87" w:rsidRDefault="00044248" w:rsidP="00EE25E4">
      <w:pPr>
        <w:autoSpaceDE w:val="0"/>
        <w:autoSpaceDN w:val="0"/>
        <w:adjustRightInd w:val="0"/>
        <w:spacing w:after="0" w:line="240" w:lineRule="auto"/>
        <w:jc w:val="center"/>
        <w:rPr>
          <w:b/>
          <w:bCs/>
          <w:sz w:val="22"/>
        </w:rPr>
      </w:pPr>
      <w:r w:rsidRPr="00945B87">
        <w:rPr>
          <w:b/>
          <w:bCs/>
          <w:sz w:val="22"/>
        </w:rPr>
        <w:t>Nr 25101010490008661391200000</w:t>
      </w:r>
    </w:p>
    <w:p w14:paraId="0D5C7134" w14:textId="55A36309" w:rsidR="00997A60" w:rsidRPr="00945B87" w:rsidRDefault="00FC1EE8" w:rsidP="00EE25E4">
      <w:pPr>
        <w:pStyle w:val="pkt"/>
        <w:spacing w:before="0" w:after="0"/>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363B82">
        <w:rPr>
          <w:szCs w:val="24"/>
        </w:rPr>
        <w:t>9/S/22</w:t>
      </w:r>
      <w:r w:rsidRPr="00BC1DE6">
        <w:rPr>
          <w:szCs w:val="24"/>
        </w:rPr>
        <w:t>)</w:t>
      </w:r>
      <w:r w:rsidRPr="00945B87">
        <w:rPr>
          <w:szCs w:val="24"/>
        </w:rPr>
        <w:t>”.</w:t>
      </w:r>
    </w:p>
    <w:p w14:paraId="2E6F91BD" w14:textId="25EC518A" w:rsidR="00997A60" w:rsidRDefault="00FC1EE8" w:rsidP="00EE25E4">
      <w:pPr>
        <w:spacing w:after="0" w:line="240"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EE25E4">
      <w:pPr>
        <w:numPr>
          <w:ilvl w:val="0"/>
          <w:numId w:val="21"/>
        </w:numPr>
        <w:spacing w:after="0" w:line="240" w:lineRule="auto"/>
        <w:ind w:left="426" w:hanging="426"/>
        <w:jc w:val="both"/>
      </w:pPr>
      <w:r>
        <w:lastRenderedPageBreak/>
        <w:t>Wadium wnoszone w formie poręczeń lub gwarancji musi spełniać co najmniej poniższe wymagania:</w:t>
      </w:r>
    </w:p>
    <w:p w14:paraId="13D08863" w14:textId="5F5D6E1C" w:rsidR="00997A60" w:rsidRPr="00C658A6" w:rsidRDefault="00FC1EE8" w:rsidP="00EE25E4">
      <w:pPr>
        <w:pStyle w:val="Akapitzlist"/>
        <w:numPr>
          <w:ilvl w:val="1"/>
          <w:numId w:val="36"/>
        </w:numPr>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w:t>
      </w:r>
      <w:proofErr w:type="spellStart"/>
      <w:r w:rsidRPr="00C658A6">
        <w:rPr>
          <w:bCs/>
        </w:rPr>
        <w:t>p.z.p</w:t>
      </w:r>
      <w:proofErr w:type="spellEnd"/>
      <w:r w:rsidRPr="00C658A6">
        <w:rPr>
          <w:bCs/>
        </w:rPr>
        <w:t>., bez potwierdzania tych okoliczności</w:t>
      </w:r>
      <w:r w:rsidR="00E02919">
        <w:rPr>
          <w:bCs/>
        </w:rPr>
        <w:t xml:space="preserve">, </w:t>
      </w:r>
    </w:p>
    <w:p w14:paraId="420D05AC" w14:textId="66108DD1" w:rsidR="00997A60" w:rsidRPr="00C658A6" w:rsidRDefault="00FC1EE8" w:rsidP="00EE25E4">
      <w:pPr>
        <w:pStyle w:val="Akapitzlist"/>
        <w:numPr>
          <w:ilvl w:val="1"/>
          <w:numId w:val="36"/>
        </w:numPr>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EE25E4">
      <w:pPr>
        <w:pStyle w:val="Akapitzlist"/>
        <w:numPr>
          <w:ilvl w:val="1"/>
          <w:numId w:val="36"/>
        </w:numPr>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EE25E4">
      <w:pPr>
        <w:pStyle w:val="Akapitzlist"/>
        <w:numPr>
          <w:ilvl w:val="1"/>
          <w:numId w:val="36"/>
        </w:numPr>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EE25E4">
      <w:pPr>
        <w:pStyle w:val="Akapitzlist"/>
        <w:numPr>
          <w:ilvl w:val="1"/>
          <w:numId w:val="36"/>
        </w:numPr>
        <w:ind w:left="709" w:hanging="283"/>
        <w:jc w:val="both"/>
        <w:rPr>
          <w:bCs/>
        </w:rPr>
      </w:pPr>
      <w:r w:rsidRPr="004461B1">
        <w:rPr>
          <w:bCs/>
        </w:rPr>
        <w:t>w treści poręczenia lub gwarancji powinna znaleźć się nazwa oraz numer przedmiotowego postępowania</w:t>
      </w:r>
      <w:r w:rsidR="00E02919" w:rsidRPr="004461B1">
        <w:rPr>
          <w:bCs/>
        </w:rPr>
        <w:t xml:space="preserve">, </w:t>
      </w:r>
    </w:p>
    <w:p w14:paraId="5AF35E07" w14:textId="77777777" w:rsidR="007B2CFC" w:rsidRDefault="00FC1EE8" w:rsidP="00EE25E4">
      <w:pPr>
        <w:pStyle w:val="Akapitzlist"/>
        <w:numPr>
          <w:ilvl w:val="1"/>
          <w:numId w:val="36"/>
        </w:numPr>
        <w:ind w:left="709" w:hanging="283"/>
        <w:jc w:val="both"/>
      </w:pPr>
      <w:r w:rsidRPr="004461B1">
        <w:rPr>
          <w:bCs/>
        </w:rPr>
        <w:t xml:space="preserve">w </w:t>
      </w:r>
      <w:r w:rsidRPr="004461B1">
        <w:t>przypadku Wykonawców wspólnie ubiegających</w:t>
      </w:r>
      <w:r>
        <w:t xml:space="preserve"> się o udzielenie zamówienia (art. 58 </w:t>
      </w:r>
      <w:proofErr w:type="spellStart"/>
      <w:r>
        <w:t>p.z.p</w:t>
      </w:r>
      <w:proofErr w:type="spellEnd"/>
      <w:r>
        <w:t>.), Zamawiający wymaga aby poręczenie lub gwarancja obejmował</w:t>
      </w:r>
      <w:r w:rsidR="00D56E2D">
        <w:t>y</w:t>
      </w:r>
      <w:r>
        <w:t xml:space="preserve"> swą treścią (</w:t>
      </w:r>
      <w:r w:rsidR="007B2CFC">
        <w:t xml:space="preserve">jako </w:t>
      </w:r>
      <w:r>
        <w:t>zobowiązanych z tytułu poręczenia lub gwarancji) wszystkich Wykonawców wspólnie ubiegających się o udzielenie zamówienia lub z treści 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EE25E4">
      <w:pPr>
        <w:pStyle w:val="Akapitzlist"/>
        <w:numPr>
          <w:ilvl w:val="1"/>
          <w:numId w:val="36"/>
        </w:numPr>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EE25E4">
      <w:pPr>
        <w:pStyle w:val="pkt"/>
        <w:numPr>
          <w:ilvl w:val="0"/>
          <w:numId w:val="21"/>
        </w:numPr>
        <w:tabs>
          <w:tab w:val="left" w:pos="720"/>
        </w:tabs>
        <w:spacing w:before="0" w:after="0"/>
        <w:ind w:left="426" w:hanging="426"/>
        <w:rPr>
          <w:bCs/>
          <w:szCs w:val="24"/>
        </w:rPr>
      </w:pPr>
      <w:r>
        <w:rPr>
          <w:bCs/>
          <w:szCs w:val="24"/>
        </w:rPr>
        <w:t>W przypadku wniesienia wadium w formie:</w:t>
      </w:r>
    </w:p>
    <w:p w14:paraId="0D3DB8F5" w14:textId="514137D0" w:rsidR="00997A60" w:rsidRPr="00431160" w:rsidRDefault="00431160" w:rsidP="00EE25E4">
      <w:pPr>
        <w:pStyle w:val="Akapitzlist"/>
        <w:numPr>
          <w:ilvl w:val="0"/>
          <w:numId w:val="37"/>
        </w:numPr>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EE25E4">
      <w:pPr>
        <w:pStyle w:val="Akapitzlist"/>
        <w:numPr>
          <w:ilvl w:val="0"/>
          <w:numId w:val="37"/>
        </w:numPr>
        <w:tabs>
          <w:tab w:val="left" w:pos="10163"/>
        </w:tabs>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EE25E4">
      <w:pPr>
        <w:pStyle w:val="pkt"/>
        <w:numPr>
          <w:ilvl w:val="0"/>
          <w:numId w:val="21"/>
        </w:numPr>
        <w:spacing w:before="0" w:after="0"/>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w:t>
      </w:r>
      <w:proofErr w:type="spellStart"/>
      <w:r>
        <w:rPr>
          <w:szCs w:val="24"/>
        </w:rPr>
        <w:t>p.z.p</w:t>
      </w:r>
      <w:proofErr w:type="spellEnd"/>
      <w:r>
        <w:rPr>
          <w:szCs w:val="24"/>
        </w:rPr>
        <w:t>., zostanie odrzucona.</w:t>
      </w:r>
    </w:p>
    <w:p w14:paraId="74ED1A22" w14:textId="761643B6" w:rsidR="00997A60" w:rsidRPr="00CB4ABC" w:rsidRDefault="00FC1EE8" w:rsidP="00EE25E4">
      <w:pPr>
        <w:pStyle w:val="pkt"/>
        <w:numPr>
          <w:ilvl w:val="0"/>
          <w:numId w:val="21"/>
        </w:numPr>
        <w:spacing w:before="0" w:after="0"/>
        <w:ind w:left="426" w:hanging="426"/>
        <w:rPr>
          <w:szCs w:val="24"/>
        </w:rPr>
      </w:pPr>
      <w:r>
        <w:rPr>
          <w:szCs w:val="24"/>
        </w:rPr>
        <w:t xml:space="preserve">Zasady zwrotu oraz okoliczności zatrzymania wadium określa </w:t>
      </w:r>
      <w:proofErr w:type="spellStart"/>
      <w:r>
        <w:rPr>
          <w:szCs w:val="24"/>
        </w:rPr>
        <w:t>p.z.p</w:t>
      </w:r>
      <w:proofErr w:type="spellEnd"/>
      <w:r>
        <w:rPr>
          <w:szCs w:val="24"/>
        </w:rPr>
        <w:t>.</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EE25E4">
      <w:pPr>
        <w:pStyle w:val="pkt"/>
        <w:numPr>
          <w:ilvl w:val="3"/>
          <w:numId w:val="44"/>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EE25E4">
      <w:pPr>
        <w:pStyle w:val="pkt"/>
        <w:numPr>
          <w:ilvl w:val="3"/>
          <w:numId w:val="44"/>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EE25E4">
      <w:pPr>
        <w:pStyle w:val="pkt"/>
        <w:numPr>
          <w:ilvl w:val="3"/>
          <w:numId w:val="44"/>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EE25E4">
      <w:pPr>
        <w:pStyle w:val="Akapitzlist"/>
        <w:numPr>
          <w:ilvl w:val="0"/>
          <w:numId w:val="25"/>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EE25E4">
      <w:pPr>
        <w:pStyle w:val="pkt"/>
        <w:numPr>
          <w:ilvl w:val="3"/>
          <w:numId w:val="45"/>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EE25E4">
      <w:pPr>
        <w:pStyle w:val="pkt"/>
        <w:numPr>
          <w:ilvl w:val="3"/>
          <w:numId w:val="45"/>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EE25E4">
      <w:pPr>
        <w:pStyle w:val="pkt"/>
        <w:numPr>
          <w:ilvl w:val="3"/>
          <w:numId w:val="45"/>
        </w:numPr>
        <w:spacing w:before="0" w:after="0"/>
        <w:ind w:left="425" w:hanging="425"/>
        <w:rPr>
          <w:szCs w:val="24"/>
        </w:rPr>
      </w:pPr>
      <w:r>
        <w:rPr>
          <w:szCs w:val="24"/>
        </w:rPr>
        <w:lastRenderedPageBreak/>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EE25E4">
      <w:pPr>
        <w:pStyle w:val="pkt"/>
        <w:numPr>
          <w:ilvl w:val="3"/>
          <w:numId w:val="45"/>
        </w:numPr>
        <w:spacing w:before="0" w:after="0"/>
        <w:ind w:left="425" w:hanging="425"/>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42520B25" w:rsidR="0030427E" w:rsidRPr="007607D6" w:rsidRDefault="00EE55EC" w:rsidP="00EE25E4">
      <w:pPr>
        <w:pStyle w:val="pkt"/>
        <w:numPr>
          <w:ilvl w:val="3"/>
          <w:numId w:val="45"/>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EE25E4">
      <w:pPr>
        <w:pStyle w:val="Akapitzlist"/>
        <w:numPr>
          <w:ilvl w:val="0"/>
          <w:numId w:val="25"/>
        </w:numPr>
        <w:ind w:left="284" w:hanging="284"/>
        <w:jc w:val="both"/>
        <w:rPr>
          <w:b/>
        </w:rPr>
      </w:pPr>
      <w:r w:rsidRPr="00697320">
        <w:rPr>
          <w:b/>
        </w:rPr>
        <w:t>INFORMACJE O TREŚCI ZAWIERANEJ UMOWY ORAZ MOŻLIWOŚCI JEJ ZMIANY</w:t>
      </w:r>
    </w:p>
    <w:p w14:paraId="5FB1A5FD" w14:textId="76DCDB18" w:rsidR="00997A60" w:rsidRDefault="00FC1EE8" w:rsidP="00EE25E4">
      <w:pPr>
        <w:pStyle w:val="pkt"/>
        <w:numPr>
          <w:ilvl w:val="3"/>
          <w:numId w:val="38"/>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EE25E4">
      <w:pPr>
        <w:pStyle w:val="pkt"/>
        <w:numPr>
          <w:ilvl w:val="3"/>
          <w:numId w:val="38"/>
        </w:numPr>
        <w:spacing w:before="0" w:after="0"/>
        <w:ind w:left="425" w:hanging="425"/>
        <w:rPr>
          <w:szCs w:val="24"/>
        </w:rPr>
      </w:pPr>
      <w:r>
        <w:rPr>
          <w:szCs w:val="24"/>
        </w:rPr>
        <w:t>Zakres świadczenia Wykonawcy wynikający z umowy jest tożsamy z jego zobowiązaniem zawartym w ofercie.</w:t>
      </w:r>
    </w:p>
    <w:p w14:paraId="6F0ADF8B" w14:textId="2E4B46BD" w:rsidR="00997A60" w:rsidRDefault="00FC1EE8" w:rsidP="00EE25E4">
      <w:pPr>
        <w:pStyle w:val="pkt"/>
        <w:numPr>
          <w:ilvl w:val="3"/>
          <w:numId w:val="38"/>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3738">
        <w:rPr>
          <w:szCs w:val="24"/>
        </w:rPr>
        <w:t xml:space="preserve">6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EE25E4">
      <w:pPr>
        <w:pStyle w:val="pkt"/>
        <w:numPr>
          <w:ilvl w:val="3"/>
          <w:numId w:val="38"/>
        </w:numPr>
        <w:spacing w:before="0" w:after="0"/>
        <w:ind w:left="425" w:hanging="425"/>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EE25E4">
      <w:pPr>
        <w:pStyle w:val="Akapitzlist"/>
        <w:numPr>
          <w:ilvl w:val="0"/>
          <w:numId w:val="25"/>
        </w:numPr>
        <w:ind w:left="283" w:hanging="425"/>
        <w:jc w:val="both"/>
        <w:rPr>
          <w:b/>
        </w:rPr>
      </w:pPr>
      <w:r w:rsidRPr="00697320">
        <w:rPr>
          <w:b/>
        </w:rPr>
        <w:t>POUCZENIE O ŚRODKACH OCHRONY PRAWNEJ PRZYSŁUGUJĄCYCH WYKONAWCY</w:t>
      </w:r>
    </w:p>
    <w:p w14:paraId="77F84C6F" w14:textId="17EE7F58" w:rsidR="00997A60" w:rsidRDefault="00FC1EE8" w:rsidP="00EE25E4">
      <w:pPr>
        <w:pStyle w:val="Akapitzlist"/>
        <w:numPr>
          <w:ilvl w:val="3"/>
          <w:numId w:val="39"/>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EE25E4">
      <w:pPr>
        <w:pStyle w:val="Akapitzlist"/>
        <w:numPr>
          <w:ilvl w:val="3"/>
          <w:numId w:val="39"/>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EE25E4">
      <w:pPr>
        <w:pStyle w:val="Akapitzlist"/>
        <w:numPr>
          <w:ilvl w:val="3"/>
          <w:numId w:val="39"/>
        </w:numPr>
        <w:ind w:left="426" w:hanging="426"/>
        <w:jc w:val="both"/>
      </w:pPr>
      <w:r>
        <w:t>Odwołanie przysługuje na:</w:t>
      </w:r>
    </w:p>
    <w:p w14:paraId="469B0D92" w14:textId="01EB0E58" w:rsidR="00997A60" w:rsidRDefault="00FC1EE8" w:rsidP="00EE25E4">
      <w:pPr>
        <w:pStyle w:val="Akapitzlist"/>
        <w:numPr>
          <w:ilvl w:val="1"/>
          <w:numId w:val="25"/>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EE25E4">
      <w:pPr>
        <w:pStyle w:val="Akapitzlist"/>
        <w:numPr>
          <w:ilvl w:val="1"/>
          <w:numId w:val="25"/>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EE25E4">
      <w:pPr>
        <w:pStyle w:val="Akapitzlist"/>
        <w:numPr>
          <w:ilvl w:val="3"/>
          <w:numId w:val="39"/>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EE25E4">
      <w:pPr>
        <w:pStyle w:val="Akapitzlist"/>
        <w:numPr>
          <w:ilvl w:val="3"/>
          <w:numId w:val="39"/>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EE25E4">
      <w:pPr>
        <w:pStyle w:val="Akapitzlist"/>
        <w:numPr>
          <w:ilvl w:val="3"/>
          <w:numId w:val="39"/>
        </w:numPr>
        <w:ind w:left="426" w:hanging="426"/>
        <w:jc w:val="both"/>
      </w:pPr>
      <w:r>
        <w:t>Odwołanie wnosi się w terminie:</w:t>
      </w:r>
    </w:p>
    <w:p w14:paraId="1AC0B0B6" w14:textId="2A3D489B" w:rsidR="00997A60" w:rsidRDefault="00FC1EE8" w:rsidP="00EE25E4">
      <w:pPr>
        <w:pStyle w:val="Akapitzlist"/>
        <w:numPr>
          <w:ilvl w:val="3"/>
          <w:numId w:val="40"/>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EE25E4">
      <w:pPr>
        <w:pStyle w:val="Akapitzlist"/>
        <w:numPr>
          <w:ilvl w:val="3"/>
          <w:numId w:val="40"/>
        </w:numPr>
        <w:suppressAutoHyphens/>
        <w:ind w:left="709" w:hanging="283"/>
        <w:jc w:val="both"/>
      </w:pPr>
      <w:r>
        <w:lastRenderedPageBreak/>
        <w:t>15 dni od dnia przekazania informacji o czynności Zamawiającego stanowiącej podstawę jego wniesienia, jeżeli informacja została przekazana w sposób inny niż określony w pkt 1).</w:t>
      </w:r>
    </w:p>
    <w:p w14:paraId="7C436D98" w14:textId="4B2DC107" w:rsidR="00997A60" w:rsidRDefault="00C44CDF" w:rsidP="00EE25E4">
      <w:pPr>
        <w:pStyle w:val="Akapitzlist"/>
        <w:numPr>
          <w:ilvl w:val="3"/>
          <w:numId w:val="39"/>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EE25E4">
      <w:pPr>
        <w:pStyle w:val="Akapitzlist"/>
        <w:numPr>
          <w:ilvl w:val="3"/>
          <w:numId w:val="39"/>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EE25E4">
      <w:pPr>
        <w:pStyle w:val="Akapitzlist"/>
        <w:numPr>
          <w:ilvl w:val="3"/>
          <w:numId w:val="39"/>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EE25E4">
      <w:pPr>
        <w:pStyle w:val="Akapitzlist"/>
        <w:numPr>
          <w:ilvl w:val="3"/>
          <w:numId w:val="39"/>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EE25E4">
      <w:pPr>
        <w:pStyle w:val="Akapitzlist"/>
        <w:numPr>
          <w:ilvl w:val="3"/>
          <w:numId w:val="39"/>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EE25E4">
      <w:pPr>
        <w:pStyle w:val="Akapitzlist"/>
        <w:numPr>
          <w:ilvl w:val="3"/>
          <w:numId w:val="39"/>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EE25E4">
      <w:pPr>
        <w:pStyle w:val="Akapitzlist"/>
        <w:numPr>
          <w:ilvl w:val="3"/>
          <w:numId w:val="39"/>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EE25E4">
      <w:pPr>
        <w:pStyle w:val="Akapitzlist"/>
        <w:numPr>
          <w:ilvl w:val="0"/>
          <w:numId w:val="22"/>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EE25E4">
      <w:pPr>
        <w:pStyle w:val="Akapitzlist"/>
        <w:numPr>
          <w:ilvl w:val="0"/>
          <w:numId w:val="22"/>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EE25E4">
      <w:pPr>
        <w:pStyle w:val="Akapitzlist"/>
        <w:numPr>
          <w:ilvl w:val="0"/>
          <w:numId w:val="22"/>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EE25E4">
      <w:pPr>
        <w:pStyle w:val="Akapitzlist"/>
        <w:numPr>
          <w:ilvl w:val="0"/>
          <w:numId w:val="22"/>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EE25E4">
      <w:pPr>
        <w:numPr>
          <w:ilvl w:val="0"/>
          <w:numId w:val="23"/>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EE25E4">
      <w:pPr>
        <w:numPr>
          <w:ilvl w:val="0"/>
          <w:numId w:val="23"/>
        </w:numPr>
        <w:spacing w:after="0" w:line="240" w:lineRule="auto"/>
        <w:ind w:left="709" w:hanging="283"/>
        <w:jc w:val="both"/>
        <w:rPr>
          <w:rFonts w:eastAsia="Times New Roman"/>
          <w:lang w:eastAsia="pl-PL"/>
        </w:rPr>
      </w:pPr>
      <w:r>
        <w:rPr>
          <w:rFonts w:eastAsia="Times New Roman"/>
          <w:lang w:eastAsia="pl-PL"/>
        </w:rPr>
        <w:t xml:space="preserve">prawnie uzasadniony interes administratora polegający na prowadzeniu analiz związanych z realizowanymi zamówieniami publicznymi oraz innych analiz na potrzeby wewnętrzne; współpracy z innymi instytucjami lub rozpatrywaniu wniosków </w:t>
      </w:r>
      <w:r>
        <w:rPr>
          <w:rFonts w:eastAsia="Times New Roman"/>
          <w:lang w:eastAsia="pl-PL"/>
        </w:rPr>
        <w:lastRenderedPageBreak/>
        <w:t>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EE25E4">
      <w:pPr>
        <w:pStyle w:val="Akapitzlist"/>
        <w:numPr>
          <w:ilvl w:val="0"/>
          <w:numId w:val="22"/>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EE25E4">
      <w:pPr>
        <w:numPr>
          <w:ilvl w:val="0"/>
          <w:numId w:val="41"/>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EE25E4">
      <w:pPr>
        <w:numPr>
          <w:ilvl w:val="0"/>
          <w:numId w:val="41"/>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EE25E4">
      <w:pPr>
        <w:pStyle w:val="Akapitzlist"/>
        <w:numPr>
          <w:ilvl w:val="0"/>
          <w:numId w:val="22"/>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EE25E4">
      <w:pPr>
        <w:numPr>
          <w:ilvl w:val="0"/>
          <w:numId w:val="24"/>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EE25E4">
      <w:pPr>
        <w:pStyle w:val="Akapitzlist"/>
        <w:numPr>
          <w:ilvl w:val="0"/>
          <w:numId w:val="22"/>
        </w:numPr>
        <w:tabs>
          <w:tab w:val="left" w:pos="426"/>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EE25E4">
      <w:pPr>
        <w:numPr>
          <w:ilvl w:val="0"/>
          <w:numId w:val="42"/>
        </w:numPr>
        <w:tabs>
          <w:tab w:val="left" w:pos="709"/>
        </w:tabs>
        <w:spacing w:after="0" w:line="240" w:lineRule="auto"/>
        <w:ind w:left="709" w:hanging="283"/>
        <w:jc w:val="both"/>
        <w:rPr>
          <w:i/>
          <w:sz w:val="20"/>
          <w:szCs w:val="20"/>
        </w:rPr>
      </w:pPr>
      <w:r>
        <w:rPr>
          <w:rFonts w:eastAsia="Times New Roman"/>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w:t>
      </w:r>
      <w:r>
        <w:rPr>
          <w:rFonts w:eastAsia="Times New Roman"/>
          <w:lang w:eastAsia="pl-PL"/>
        </w:rPr>
        <w:lastRenderedPageBreak/>
        <w:t>sprecyzowanie żądania, w szczególności podania nazwy lub daty postępowania o udzielenie zamówienia publicznego lub konkursu;</w:t>
      </w:r>
    </w:p>
    <w:p w14:paraId="2809D754" w14:textId="61861391"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EE25E4">
      <w:pPr>
        <w:numPr>
          <w:ilvl w:val="0"/>
          <w:numId w:val="42"/>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EE25E4">
      <w:pPr>
        <w:numPr>
          <w:ilvl w:val="0"/>
          <w:numId w:val="42"/>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EE25E4">
      <w:pPr>
        <w:pStyle w:val="Akapitzlist"/>
        <w:numPr>
          <w:ilvl w:val="0"/>
          <w:numId w:val="22"/>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EE25E4">
      <w:pPr>
        <w:numPr>
          <w:ilvl w:val="0"/>
          <w:numId w:val="43"/>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EE25E4">
      <w:pPr>
        <w:numPr>
          <w:ilvl w:val="0"/>
          <w:numId w:val="43"/>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EE25E4">
      <w:pPr>
        <w:numPr>
          <w:ilvl w:val="0"/>
          <w:numId w:val="43"/>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EE25E4">
      <w:pPr>
        <w:numPr>
          <w:ilvl w:val="0"/>
          <w:numId w:val="22"/>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t>WYKAZ ZAŁĄCZNIKÓW DO SWZ</w:t>
      </w:r>
    </w:p>
    <w:tbl>
      <w:tblPr>
        <w:tblStyle w:val="Tabela-Siatka"/>
        <w:tblW w:w="0" w:type="auto"/>
        <w:tblInd w:w="108" w:type="dxa"/>
        <w:tblLook w:val="04A0" w:firstRow="1" w:lastRow="0" w:firstColumn="1" w:lastColumn="0" w:noHBand="0" w:noVBand="1"/>
      </w:tblPr>
      <w:tblGrid>
        <w:gridCol w:w="1956"/>
        <w:gridCol w:w="6998"/>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1000DD">
      <w:headerReference w:type="even" r:id="rId19"/>
      <w:headerReference w:type="default" r:id="rId20"/>
      <w:footerReference w:type="even" r:id="rId21"/>
      <w:footerReference w:type="default" r:id="rId22"/>
      <w:headerReference w:type="first" r:id="rId23"/>
      <w:footerReference w:type="first" r:id="rId24"/>
      <w:pgSz w:w="11906" w:h="16838"/>
      <w:pgMar w:top="1417" w:right="1416" w:bottom="1417"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B69C" w14:textId="77777777" w:rsidR="00A4245D" w:rsidRDefault="00A4245D">
      <w:pPr>
        <w:spacing w:line="240" w:lineRule="auto"/>
      </w:pPr>
      <w:r>
        <w:separator/>
      </w:r>
    </w:p>
  </w:endnote>
  <w:endnote w:type="continuationSeparator" w:id="0">
    <w:p w14:paraId="74409A01" w14:textId="77777777" w:rsidR="00A4245D" w:rsidRDefault="00A42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6B03" w14:textId="77777777" w:rsidR="000C2399" w:rsidRDefault="000C23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14938"/>
      <w:docPartObj>
        <w:docPartGallery w:val="Page Numbers (Bottom of Page)"/>
        <w:docPartUnique/>
      </w:docPartObj>
    </w:sdtPr>
    <w:sdtEndPr/>
    <w:sdtContent>
      <w:p w14:paraId="3DFE0DFC" w14:textId="6F5CEE68" w:rsidR="00A459AA" w:rsidRDefault="00A459AA">
        <w:pPr>
          <w:pStyle w:val="Stopka"/>
          <w:jc w:val="right"/>
        </w:pPr>
        <w:r>
          <w:fldChar w:fldCharType="begin"/>
        </w:r>
        <w:r>
          <w:instrText>PAGE   \* MERGEFORMAT</w:instrText>
        </w:r>
        <w:r>
          <w:fldChar w:fldCharType="separate"/>
        </w:r>
        <w:r w:rsidR="00957900">
          <w:rPr>
            <w:noProof/>
          </w:rPr>
          <w:t>21</w:t>
        </w:r>
        <w:r>
          <w:fldChar w:fldCharType="end"/>
        </w:r>
      </w:p>
    </w:sdtContent>
  </w:sdt>
  <w:p w14:paraId="725431B4" w14:textId="77777777" w:rsidR="00A459AA" w:rsidRDefault="00A459A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59B8" w14:textId="77777777" w:rsidR="000C2399" w:rsidRDefault="000C239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AC06" w14:textId="77777777" w:rsidR="00A4245D" w:rsidRDefault="00A4245D">
      <w:pPr>
        <w:spacing w:after="0" w:line="240" w:lineRule="auto"/>
      </w:pPr>
      <w:r>
        <w:separator/>
      </w:r>
    </w:p>
  </w:footnote>
  <w:footnote w:type="continuationSeparator" w:id="0">
    <w:p w14:paraId="19CD2EE1" w14:textId="77777777" w:rsidR="00A4245D" w:rsidRDefault="00A4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8E2B" w14:textId="77777777" w:rsidR="000C2399" w:rsidRDefault="000C239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50B7" w14:textId="3ACB32F4" w:rsidR="000C2399" w:rsidRDefault="00A459AA" w:rsidP="000C2399">
    <w:pPr>
      <w:pStyle w:val="Nagwek"/>
      <w:ind w:leftChars="1000" w:left="2400"/>
      <w:jc w:val="both"/>
      <w:rPr>
        <w:i/>
        <w:iCs/>
        <w:sz w:val="20"/>
        <w:szCs w:val="20"/>
      </w:rPr>
    </w:pPr>
    <w:bookmarkStart w:id="11" w:name="_Hlk57709238"/>
    <w:bookmarkStart w:id="12" w:name="_Hlk75594092"/>
    <w:bookmarkEnd w:id="11"/>
    <w:r>
      <w:rPr>
        <w:i/>
        <w:iCs/>
        <w:noProof/>
        <w:sz w:val="20"/>
        <w:szCs w:val="20"/>
        <w:lang w:eastAsia="pl-PL"/>
      </w:rPr>
      <w:drawing>
        <wp:anchor distT="0" distB="0" distL="114935" distR="114935" simplePos="0" relativeHeight="251659264" behindDoc="1" locked="0" layoutInCell="1" allowOverlap="1" wp14:anchorId="245C8A62" wp14:editId="0D359843">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i/>
        <w:iCs/>
        <w:sz w:val="20"/>
        <w:szCs w:val="20"/>
      </w:rPr>
      <w:t>P</w:t>
    </w:r>
    <w:bookmarkEnd w:id="12"/>
    <w:r w:rsidR="000C2399">
      <w:rPr>
        <w:i/>
        <w:iCs/>
        <w:sz w:val="20"/>
        <w:szCs w:val="20"/>
      </w:rPr>
      <w:t xml:space="preserve">rojekt pn. „Wzmocnienie metod </w:t>
    </w:r>
    <w:proofErr w:type="spellStart"/>
    <w:r w:rsidR="000C2399">
      <w:rPr>
        <w:i/>
        <w:iCs/>
        <w:sz w:val="20"/>
        <w:szCs w:val="20"/>
      </w:rPr>
      <w:t>wykrywczych</w:t>
    </w:r>
    <w:proofErr w:type="spellEnd"/>
    <w:r w:rsidR="000C2399">
      <w:rPr>
        <w:i/>
        <w:iCs/>
        <w:sz w:val="20"/>
        <w:szCs w:val="20"/>
      </w:rPr>
      <w:t xml:space="preserve">, prowadzących do skutecznego zwalczania przedsiębiorczości transgranicznej, wymierzonej w finanse Unii Europejskiej” </w:t>
    </w:r>
    <w:r w:rsidR="000C2399" w:rsidRPr="0098152C">
      <w:rPr>
        <w:i/>
        <w:iCs/>
        <w:sz w:val="20"/>
        <w:szCs w:val="20"/>
      </w:rPr>
      <w:t xml:space="preserve">finansowany z Programu </w:t>
    </w:r>
    <w:proofErr w:type="spellStart"/>
    <w:r w:rsidR="000C2399" w:rsidRPr="0098152C">
      <w:rPr>
        <w:i/>
        <w:iCs/>
        <w:sz w:val="20"/>
        <w:szCs w:val="20"/>
        <w:lang w:val="en-GB"/>
      </w:rPr>
      <w:t>Unii</w:t>
    </w:r>
    <w:proofErr w:type="spellEnd"/>
    <w:r w:rsidR="000C2399" w:rsidRPr="0098152C">
      <w:rPr>
        <w:i/>
        <w:iCs/>
        <w:sz w:val="20"/>
        <w:szCs w:val="20"/>
        <w:lang w:val="en-GB"/>
      </w:rPr>
      <w:t xml:space="preserve"> </w:t>
    </w:r>
    <w:proofErr w:type="spellStart"/>
    <w:r w:rsidR="000C2399" w:rsidRPr="0098152C">
      <w:rPr>
        <w:i/>
        <w:iCs/>
        <w:sz w:val="20"/>
        <w:szCs w:val="20"/>
        <w:lang w:val="en-GB"/>
      </w:rPr>
      <w:t>Europejskiej</w:t>
    </w:r>
    <w:proofErr w:type="spellEnd"/>
    <w:r w:rsidR="000C2399" w:rsidRPr="0098152C">
      <w:rPr>
        <w:i/>
        <w:iCs/>
        <w:sz w:val="20"/>
        <w:szCs w:val="20"/>
        <w:lang w:val="en-GB"/>
      </w:rPr>
      <w:t xml:space="preserve"> </w:t>
    </w:r>
    <w:proofErr w:type="spellStart"/>
    <w:r w:rsidR="000C2399" w:rsidRPr="0098152C">
      <w:rPr>
        <w:i/>
        <w:iCs/>
        <w:sz w:val="20"/>
        <w:szCs w:val="20"/>
      </w:rPr>
      <w:t>Hercule</w:t>
    </w:r>
    <w:proofErr w:type="spellEnd"/>
    <w:r w:rsidR="000C2399" w:rsidRPr="0098152C">
      <w:rPr>
        <w:i/>
        <w:iCs/>
        <w:sz w:val="20"/>
        <w:szCs w:val="20"/>
      </w:rPr>
      <w:t xml:space="preserve"> III </w:t>
    </w:r>
  </w:p>
  <w:p w14:paraId="397444C9" w14:textId="77777777" w:rsidR="000C2399" w:rsidRDefault="000C2399" w:rsidP="000C2399">
    <w:pPr>
      <w:pStyle w:val="Nagwek"/>
      <w:ind w:leftChars="1000" w:left="2400"/>
      <w:jc w:val="both"/>
      <w:rPr>
        <w:i/>
        <w:iCs/>
        <w:sz w:val="20"/>
        <w:szCs w:val="20"/>
      </w:rPr>
    </w:pPr>
    <w:r>
      <w:rPr>
        <w:i/>
        <w:iCs/>
        <w:sz w:val="20"/>
        <w:szCs w:val="20"/>
      </w:rPr>
      <w:t>Nr identyfikacyjny projektu: 101012349</w:t>
    </w:r>
  </w:p>
  <w:p w14:paraId="77AC2F70" w14:textId="31E6BA92" w:rsidR="00A459AA" w:rsidRDefault="00A459AA" w:rsidP="000C2399">
    <w:pPr>
      <w:pStyle w:val="Nagwek"/>
      <w:ind w:leftChars="1000" w:left="2400"/>
      <w:jc w:val="both"/>
      <w:rPr>
        <w:sz w:val="20"/>
        <w:szCs w:val="20"/>
      </w:rPr>
    </w:pPr>
  </w:p>
  <w:p w14:paraId="23A4D2C0" w14:textId="77777777" w:rsidR="00A459AA" w:rsidRDefault="00A459AA">
    <w:pPr>
      <w:pStyle w:val="Nagwek"/>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B566" w14:textId="77777777" w:rsidR="000C2399" w:rsidRDefault="000C239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8"/>
  </w:num>
  <w:num w:numId="3">
    <w:abstractNumId w:val="15"/>
  </w:num>
  <w:num w:numId="4">
    <w:abstractNumId w:val="19"/>
  </w:num>
  <w:num w:numId="5">
    <w:abstractNumId w:val="30"/>
  </w:num>
  <w:num w:numId="6">
    <w:abstractNumId w:val="34"/>
  </w:num>
  <w:num w:numId="7">
    <w:abstractNumId w:val="42"/>
  </w:num>
  <w:num w:numId="8">
    <w:abstractNumId w:val="25"/>
  </w:num>
  <w:num w:numId="9">
    <w:abstractNumId w:val="20"/>
  </w:num>
  <w:num w:numId="10">
    <w:abstractNumId w:val="26"/>
  </w:num>
  <w:num w:numId="11">
    <w:abstractNumId w:val="7"/>
  </w:num>
  <w:num w:numId="12">
    <w:abstractNumId w:val="36"/>
  </w:num>
  <w:num w:numId="13">
    <w:abstractNumId w:val="37"/>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3"/>
  </w:num>
  <w:num w:numId="22">
    <w:abstractNumId w:val="45"/>
  </w:num>
  <w:num w:numId="23">
    <w:abstractNumId w:val="2"/>
  </w:num>
  <w:num w:numId="24">
    <w:abstractNumId w:val="23"/>
  </w:num>
  <w:num w:numId="25">
    <w:abstractNumId w:val="35"/>
  </w:num>
  <w:num w:numId="26">
    <w:abstractNumId w:val="4"/>
  </w:num>
  <w:num w:numId="27">
    <w:abstractNumId w:val="17"/>
  </w:num>
  <w:num w:numId="28">
    <w:abstractNumId w:val="22"/>
  </w:num>
  <w:num w:numId="29">
    <w:abstractNumId w:val="8"/>
  </w:num>
  <w:num w:numId="30">
    <w:abstractNumId w:val="21"/>
  </w:num>
  <w:num w:numId="31">
    <w:abstractNumId w:val="40"/>
  </w:num>
  <w:num w:numId="32">
    <w:abstractNumId w:val="10"/>
  </w:num>
  <w:num w:numId="33">
    <w:abstractNumId w:val="43"/>
  </w:num>
  <w:num w:numId="34">
    <w:abstractNumId w:val="9"/>
  </w:num>
  <w:num w:numId="35">
    <w:abstractNumId w:val="31"/>
  </w:num>
  <w:num w:numId="36">
    <w:abstractNumId w:val="29"/>
  </w:num>
  <w:num w:numId="37">
    <w:abstractNumId w:val="16"/>
  </w:num>
  <w:num w:numId="38">
    <w:abstractNumId w:val="39"/>
  </w:num>
  <w:num w:numId="39">
    <w:abstractNumId w:val="24"/>
  </w:num>
  <w:num w:numId="40">
    <w:abstractNumId w:val="5"/>
  </w:num>
  <w:num w:numId="41">
    <w:abstractNumId w:val="14"/>
  </w:num>
  <w:num w:numId="42">
    <w:abstractNumId w:val="11"/>
  </w:num>
  <w:num w:numId="43">
    <w:abstractNumId w:val="41"/>
  </w:num>
  <w:num w:numId="44">
    <w:abstractNumId w:val="13"/>
  </w:num>
  <w:num w:numId="45">
    <w:abstractNumId w:val="1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1250D"/>
    <w:rsid w:val="0001431C"/>
    <w:rsid w:val="00014817"/>
    <w:rsid w:val="00022A89"/>
    <w:rsid w:val="00022F0E"/>
    <w:rsid w:val="00026101"/>
    <w:rsid w:val="00030245"/>
    <w:rsid w:val="000347F7"/>
    <w:rsid w:val="00037713"/>
    <w:rsid w:val="00040C9A"/>
    <w:rsid w:val="000420DE"/>
    <w:rsid w:val="0004359D"/>
    <w:rsid w:val="00044248"/>
    <w:rsid w:val="00046554"/>
    <w:rsid w:val="00047951"/>
    <w:rsid w:val="000540EE"/>
    <w:rsid w:val="00054164"/>
    <w:rsid w:val="0005594B"/>
    <w:rsid w:val="00056377"/>
    <w:rsid w:val="00056E58"/>
    <w:rsid w:val="000577A1"/>
    <w:rsid w:val="000607E2"/>
    <w:rsid w:val="0006415F"/>
    <w:rsid w:val="00064F6D"/>
    <w:rsid w:val="000664F7"/>
    <w:rsid w:val="00070841"/>
    <w:rsid w:val="00071333"/>
    <w:rsid w:val="00072D78"/>
    <w:rsid w:val="0007356F"/>
    <w:rsid w:val="00076317"/>
    <w:rsid w:val="00076FB8"/>
    <w:rsid w:val="00077856"/>
    <w:rsid w:val="000808DC"/>
    <w:rsid w:val="0008140D"/>
    <w:rsid w:val="00095D6E"/>
    <w:rsid w:val="00096D9D"/>
    <w:rsid w:val="000A1A56"/>
    <w:rsid w:val="000A2C5A"/>
    <w:rsid w:val="000A60C4"/>
    <w:rsid w:val="000A7EF9"/>
    <w:rsid w:val="000B08A9"/>
    <w:rsid w:val="000B2E22"/>
    <w:rsid w:val="000B5B00"/>
    <w:rsid w:val="000C2399"/>
    <w:rsid w:val="000C4788"/>
    <w:rsid w:val="000D197B"/>
    <w:rsid w:val="000D3C8C"/>
    <w:rsid w:val="000E109A"/>
    <w:rsid w:val="000E1432"/>
    <w:rsid w:val="000E7E48"/>
    <w:rsid w:val="000F0BE4"/>
    <w:rsid w:val="000F169A"/>
    <w:rsid w:val="000F490C"/>
    <w:rsid w:val="000F4BE6"/>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500"/>
    <w:rsid w:val="001341B2"/>
    <w:rsid w:val="001346C7"/>
    <w:rsid w:val="00136478"/>
    <w:rsid w:val="00150B5D"/>
    <w:rsid w:val="00151745"/>
    <w:rsid w:val="00151DF6"/>
    <w:rsid w:val="001544A2"/>
    <w:rsid w:val="00154BD7"/>
    <w:rsid w:val="001574FA"/>
    <w:rsid w:val="0016001F"/>
    <w:rsid w:val="001778DF"/>
    <w:rsid w:val="00177A84"/>
    <w:rsid w:val="00180313"/>
    <w:rsid w:val="00181C7D"/>
    <w:rsid w:val="001846A2"/>
    <w:rsid w:val="001856F5"/>
    <w:rsid w:val="0019255C"/>
    <w:rsid w:val="00195FBA"/>
    <w:rsid w:val="00197308"/>
    <w:rsid w:val="00197901"/>
    <w:rsid w:val="001979D3"/>
    <w:rsid w:val="00197B2E"/>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1F6D44"/>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3D00"/>
    <w:rsid w:val="00315488"/>
    <w:rsid w:val="003321E0"/>
    <w:rsid w:val="00333738"/>
    <w:rsid w:val="00342893"/>
    <w:rsid w:val="00343F16"/>
    <w:rsid w:val="00350B33"/>
    <w:rsid w:val="00353B7D"/>
    <w:rsid w:val="0035761E"/>
    <w:rsid w:val="00357979"/>
    <w:rsid w:val="00360C25"/>
    <w:rsid w:val="0036122E"/>
    <w:rsid w:val="003633DA"/>
    <w:rsid w:val="003635B4"/>
    <w:rsid w:val="0036393E"/>
    <w:rsid w:val="00363B82"/>
    <w:rsid w:val="00366F0F"/>
    <w:rsid w:val="0037159E"/>
    <w:rsid w:val="00372762"/>
    <w:rsid w:val="00382B12"/>
    <w:rsid w:val="00382D2F"/>
    <w:rsid w:val="003857D4"/>
    <w:rsid w:val="0038627C"/>
    <w:rsid w:val="00390CAF"/>
    <w:rsid w:val="00397006"/>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76B"/>
    <w:rsid w:val="0045551C"/>
    <w:rsid w:val="00460E37"/>
    <w:rsid w:val="0046120D"/>
    <w:rsid w:val="0047231C"/>
    <w:rsid w:val="00472D98"/>
    <w:rsid w:val="00472E72"/>
    <w:rsid w:val="00474412"/>
    <w:rsid w:val="004944BF"/>
    <w:rsid w:val="00496645"/>
    <w:rsid w:val="0049785D"/>
    <w:rsid w:val="00497E7D"/>
    <w:rsid w:val="004A2A04"/>
    <w:rsid w:val="004A33F6"/>
    <w:rsid w:val="004A7F53"/>
    <w:rsid w:val="004B26BC"/>
    <w:rsid w:val="004B291E"/>
    <w:rsid w:val="004B2983"/>
    <w:rsid w:val="004B660B"/>
    <w:rsid w:val="004B7B3E"/>
    <w:rsid w:val="004C074C"/>
    <w:rsid w:val="004C0C39"/>
    <w:rsid w:val="004C2CCC"/>
    <w:rsid w:val="004C4E57"/>
    <w:rsid w:val="004C5BEF"/>
    <w:rsid w:val="004C7194"/>
    <w:rsid w:val="004C74EF"/>
    <w:rsid w:val="004D27F0"/>
    <w:rsid w:val="004D2A27"/>
    <w:rsid w:val="004D56B7"/>
    <w:rsid w:val="004D590F"/>
    <w:rsid w:val="004D5FC0"/>
    <w:rsid w:val="004D625B"/>
    <w:rsid w:val="004E1457"/>
    <w:rsid w:val="004E6ACC"/>
    <w:rsid w:val="004F2409"/>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A6ED4"/>
    <w:rsid w:val="005A7367"/>
    <w:rsid w:val="005B2520"/>
    <w:rsid w:val="005B3C61"/>
    <w:rsid w:val="005B3FED"/>
    <w:rsid w:val="005B4A06"/>
    <w:rsid w:val="005C64D8"/>
    <w:rsid w:val="005C6721"/>
    <w:rsid w:val="005C6B79"/>
    <w:rsid w:val="005D0330"/>
    <w:rsid w:val="005D67D1"/>
    <w:rsid w:val="005E6E84"/>
    <w:rsid w:val="005E7BF0"/>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13"/>
    <w:rsid w:val="00622C22"/>
    <w:rsid w:val="00627DE6"/>
    <w:rsid w:val="0063202D"/>
    <w:rsid w:val="006320B7"/>
    <w:rsid w:val="00632E19"/>
    <w:rsid w:val="006365FD"/>
    <w:rsid w:val="00641452"/>
    <w:rsid w:val="0064455A"/>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84EB5"/>
    <w:rsid w:val="00687E03"/>
    <w:rsid w:val="0069031E"/>
    <w:rsid w:val="00691042"/>
    <w:rsid w:val="0069257C"/>
    <w:rsid w:val="0069408C"/>
    <w:rsid w:val="00697320"/>
    <w:rsid w:val="006A0AD6"/>
    <w:rsid w:val="006A2A9B"/>
    <w:rsid w:val="006A32C3"/>
    <w:rsid w:val="006A7C7E"/>
    <w:rsid w:val="006A7DDF"/>
    <w:rsid w:val="006B1B74"/>
    <w:rsid w:val="006B26D3"/>
    <w:rsid w:val="006B3AB1"/>
    <w:rsid w:val="006C0EBE"/>
    <w:rsid w:val="006C32A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516F"/>
    <w:rsid w:val="00716721"/>
    <w:rsid w:val="007212E5"/>
    <w:rsid w:val="00723EFC"/>
    <w:rsid w:val="00730271"/>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66E54"/>
    <w:rsid w:val="00770066"/>
    <w:rsid w:val="007748BF"/>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309F"/>
    <w:rsid w:val="007F1563"/>
    <w:rsid w:val="00804686"/>
    <w:rsid w:val="008051BC"/>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2183"/>
    <w:rsid w:val="008F28E4"/>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41A46"/>
    <w:rsid w:val="00941B4E"/>
    <w:rsid w:val="0094241C"/>
    <w:rsid w:val="00942C61"/>
    <w:rsid w:val="00945B87"/>
    <w:rsid w:val="00947C53"/>
    <w:rsid w:val="00952388"/>
    <w:rsid w:val="00954162"/>
    <w:rsid w:val="009560A7"/>
    <w:rsid w:val="00957900"/>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9F10D2"/>
    <w:rsid w:val="00A0012E"/>
    <w:rsid w:val="00A0040E"/>
    <w:rsid w:val="00A02601"/>
    <w:rsid w:val="00A1070B"/>
    <w:rsid w:val="00A10E19"/>
    <w:rsid w:val="00A1112F"/>
    <w:rsid w:val="00A1248D"/>
    <w:rsid w:val="00A17BBB"/>
    <w:rsid w:val="00A22753"/>
    <w:rsid w:val="00A31301"/>
    <w:rsid w:val="00A3155F"/>
    <w:rsid w:val="00A334D0"/>
    <w:rsid w:val="00A36939"/>
    <w:rsid w:val="00A41DBB"/>
    <w:rsid w:val="00A4245D"/>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6E"/>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491"/>
    <w:rsid w:val="00BD4D40"/>
    <w:rsid w:val="00BD6BD0"/>
    <w:rsid w:val="00BE0593"/>
    <w:rsid w:val="00BE0FD1"/>
    <w:rsid w:val="00BE7BFE"/>
    <w:rsid w:val="00BF0B3A"/>
    <w:rsid w:val="00BF0DD6"/>
    <w:rsid w:val="00BF1105"/>
    <w:rsid w:val="00BF18EE"/>
    <w:rsid w:val="00BF419D"/>
    <w:rsid w:val="00C044D9"/>
    <w:rsid w:val="00C0736F"/>
    <w:rsid w:val="00C100BC"/>
    <w:rsid w:val="00C106AB"/>
    <w:rsid w:val="00C13536"/>
    <w:rsid w:val="00C1659C"/>
    <w:rsid w:val="00C16A8A"/>
    <w:rsid w:val="00C210C2"/>
    <w:rsid w:val="00C2115A"/>
    <w:rsid w:val="00C21259"/>
    <w:rsid w:val="00C215A8"/>
    <w:rsid w:val="00C22000"/>
    <w:rsid w:val="00C2215B"/>
    <w:rsid w:val="00C24B1B"/>
    <w:rsid w:val="00C30DDA"/>
    <w:rsid w:val="00C33748"/>
    <w:rsid w:val="00C355F9"/>
    <w:rsid w:val="00C37B41"/>
    <w:rsid w:val="00C40470"/>
    <w:rsid w:val="00C4050B"/>
    <w:rsid w:val="00C43523"/>
    <w:rsid w:val="00C4422C"/>
    <w:rsid w:val="00C44CD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3EC"/>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06CC"/>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877FB"/>
    <w:rsid w:val="00EA0D73"/>
    <w:rsid w:val="00EA0E80"/>
    <w:rsid w:val="00EA7DF4"/>
    <w:rsid w:val="00EB0FEF"/>
    <w:rsid w:val="00EB3114"/>
    <w:rsid w:val="00EB32E1"/>
    <w:rsid w:val="00EB371C"/>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4723"/>
    <w:rsid w:val="00F15EE9"/>
    <w:rsid w:val="00F17A8B"/>
    <w:rsid w:val="00F20C18"/>
    <w:rsid w:val="00F23C0F"/>
    <w:rsid w:val="00F315A3"/>
    <w:rsid w:val="00F32516"/>
    <w:rsid w:val="00F333E1"/>
    <w:rsid w:val="00F34AFE"/>
    <w:rsid w:val="00F41A4C"/>
    <w:rsid w:val="00F42885"/>
    <w:rsid w:val="00F42E37"/>
    <w:rsid w:val="00F42FE5"/>
    <w:rsid w:val="00F43369"/>
    <w:rsid w:val="00F44AE7"/>
    <w:rsid w:val="00F4732B"/>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E31981E6-919A-41D0-B3DC-759C5CB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eader" Target="header3.xm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726D1-5E8F-4D31-B45A-C157BAF1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22</Pages>
  <Words>9308</Words>
  <Characters>55851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AnnaGołko</cp:lastModifiedBy>
  <cp:revision>40</cp:revision>
  <dcterms:created xsi:type="dcterms:W3CDTF">2021-07-05T07:57:00Z</dcterms:created>
  <dcterms:modified xsi:type="dcterms:W3CDTF">2022-03-22T10:27:00Z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