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0452347B"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FE2CC3">
        <w:rPr>
          <w:rFonts w:asciiTheme="minorHAnsi" w:eastAsiaTheme="majorEastAsia" w:hAnsiTheme="minorHAnsi" w:cstheme="minorHAnsi"/>
          <w:b/>
          <w:color w:val="002060"/>
          <w:lang w:eastAsia="en-US"/>
        </w:rPr>
        <w:t>1</w:t>
      </w:r>
      <w:r w:rsidR="00070DA2">
        <w:rPr>
          <w:rFonts w:asciiTheme="minorHAnsi" w:eastAsiaTheme="majorEastAsia" w:hAnsiTheme="minorHAnsi" w:cstheme="minorHAnsi"/>
          <w:b/>
          <w:color w:val="002060"/>
          <w:lang w:eastAsia="en-US"/>
        </w:rPr>
        <w:t>8</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5663B7D0" w14:textId="77777777" w:rsidR="00FE2CC3" w:rsidRDefault="00FE2CC3" w:rsidP="00FE2CC3">
      <w:pPr>
        <w:spacing w:after="720"/>
        <w:jc w:val="center"/>
        <w:rPr>
          <w:rFonts w:asciiTheme="minorHAnsi" w:eastAsiaTheme="majorEastAsia" w:hAnsiTheme="minorHAnsi" w:cstheme="minorHAnsi"/>
          <w:b/>
          <w:color w:val="002060"/>
          <w:sz w:val="32"/>
          <w:szCs w:val="32"/>
          <w:lang w:eastAsia="en-US"/>
        </w:rPr>
      </w:pPr>
      <w:r w:rsidRPr="00FE2CC3">
        <w:rPr>
          <w:rFonts w:asciiTheme="minorHAnsi" w:eastAsiaTheme="majorEastAsia" w:hAnsiTheme="minorHAnsi" w:cstheme="minorHAnsi"/>
          <w:b/>
          <w:color w:val="002060"/>
          <w:sz w:val="32"/>
          <w:szCs w:val="32"/>
          <w:lang w:eastAsia="en-US"/>
        </w:rPr>
        <w:t>Budowa ul. Zimowej w Plewiskach -poprawa bezpieczeństwa komunikacyjnego na terenie gminy</w:t>
      </w:r>
    </w:p>
    <w:p w14:paraId="4D250756" w14:textId="7E099F31"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3524E7" w:rsidRPr="003524E7">
        <w:rPr>
          <w:rFonts w:asciiTheme="minorHAnsi" w:eastAsiaTheme="majorEastAsia" w:hAnsiTheme="minorHAnsi" w:cstheme="minorHAnsi"/>
          <w:b/>
          <w:lang w:eastAsia="en-US"/>
        </w:rPr>
        <w:t>918829</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34414217"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070DA2">
        <w:rPr>
          <w:rFonts w:asciiTheme="minorHAnsi" w:eastAsiaTheme="majorEastAsia" w:hAnsiTheme="minorHAnsi" w:cstheme="minorHAnsi"/>
          <w:bCs/>
          <w:lang w:eastAsia="en-US"/>
        </w:rPr>
        <w:t>23 kwietnia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4DF3D763"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obejmuje budowę </w:t>
      </w:r>
      <w:r w:rsidR="00AC26E0" w:rsidRPr="00AC26E0">
        <w:rPr>
          <w:rFonts w:asciiTheme="minorHAnsi" w:eastAsiaTheme="majorEastAsia" w:hAnsiTheme="minorHAnsi" w:cstheme="minorHAnsi"/>
          <w:bCs/>
          <w:lang w:eastAsia="en-US"/>
        </w:rPr>
        <w:t>ul. Zimowej w Plewiskach</w:t>
      </w:r>
      <w:r w:rsidR="00AC26E0">
        <w:rPr>
          <w:rFonts w:asciiTheme="minorHAnsi" w:eastAsiaTheme="majorEastAsia" w:hAnsiTheme="minorHAnsi" w:cstheme="minorHAnsi"/>
          <w:bCs/>
          <w:lang w:eastAsia="en-US"/>
        </w:rPr>
        <w:t>.</w:t>
      </w:r>
    </w:p>
    <w:p w14:paraId="409B07CC" w14:textId="77777777"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7DC9D23D"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A8628B">
        <w:rPr>
          <w:rFonts w:asciiTheme="minorHAnsi" w:eastAsiaTheme="majorEastAsia" w:hAnsiTheme="minorHAnsi" w:cstheme="minorHAnsi"/>
          <w:bCs/>
          <w:lang w:eastAsia="en-US"/>
        </w:rPr>
        <w:t>5</w:t>
      </w:r>
      <w:r w:rsidR="00BA20D3">
        <w:rPr>
          <w:rFonts w:asciiTheme="minorHAnsi" w:eastAsiaTheme="majorEastAsia" w:hAnsiTheme="minorHAnsi" w:cstheme="minorHAnsi"/>
          <w:bCs/>
          <w:lang w:eastAsia="en-US"/>
        </w:rPr>
        <w:t xml:space="preserve"> </w:t>
      </w:r>
      <w:r w:rsidR="00A8628B">
        <w:rPr>
          <w:rFonts w:asciiTheme="minorHAnsi" w:eastAsiaTheme="majorEastAsia" w:hAnsiTheme="minorHAnsi" w:cstheme="minorHAnsi"/>
          <w:bCs/>
          <w:lang w:eastAsia="en-US"/>
        </w:rPr>
        <w:t>0</w:t>
      </w:r>
      <w:r w:rsidRPr="00CC00B9">
        <w:rPr>
          <w:rFonts w:asciiTheme="minorHAnsi" w:eastAsiaTheme="majorEastAsia" w:hAnsiTheme="minorHAnsi" w:cstheme="minorHAnsi"/>
          <w:bCs/>
          <w:lang w:eastAsia="en-US"/>
        </w:rPr>
        <w:t xml:space="preserve">00.000,00 zł (słownie: </w:t>
      </w:r>
      <w:r w:rsidR="00A8628B">
        <w:rPr>
          <w:rFonts w:asciiTheme="minorHAnsi" w:eastAsiaTheme="majorEastAsia" w:hAnsiTheme="minorHAnsi" w:cstheme="minorHAnsi"/>
          <w:bCs/>
          <w:lang w:eastAsia="en-US"/>
        </w:rPr>
        <w:t xml:space="preserve">pięć </w:t>
      </w:r>
      <w:r w:rsidR="00BA20D3">
        <w:rPr>
          <w:rFonts w:asciiTheme="minorHAnsi" w:eastAsiaTheme="majorEastAsia" w:hAnsiTheme="minorHAnsi" w:cstheme="minorHAnsi"/>
          <w:bCs/>
          <w:lang w:eastAsia="en-US"/>
        </w:rPr>
        <w:t>milion</w:t>
      </w:r>
      <w:r w:rsidR="00A8628B">
        <w:rPr>
          <w:rFonts w:asciiTheme="minorHAnsi" w:eastAsiaTheme="majorEastAsia" w:hAnsiTheme="minorHAnsi" w:cstheme="minorHAnsi"/>
          <w:bCs/>
          <w:lang w:eastAsia="en-US"/>
        </w:rPr>
        <w:t xml:space="preserve">ów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4979F15C"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941DF2" w:rsidRPr="00941DF2">
        <w:rPr>
          <w:rFonts w:asciiTheme="minorHAnsi" w:hAnsiTheme="minorHAnsi"/>
          <w:b/>
          <w:bCs/>
        </w:rPr>
        <w:t>45233120-6 Roboty w zakresie budowy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14F65A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45100000-8 Przygotowanie terenu pod budowę</w:t>
      </w:r>
    </w:p>
    <w:p w14:paraId="4A001082" w14:textId="79FA782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45111200-0 Roboty w zakresie przygotowania terenu pod budowę i roboty ziemne</w:t>
      </w:r>
    </w:p>
    <w:p w14:paraId="5637E6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45233000-9 Roboty w zakresie konstruowania, fundamentowania oraz wykonywania nawierzchni autostrad, dróg</w:t>
      </w:r>
    </w:p>
    <w:p w14:paraId="3998187D" w14:textId="37848E9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44132000-4 Elementy przepustów</w:t>
      </w:r>
    </w:p>
    <w:p w14:paraId="1AF0575E" w14:textId="735EC0AB"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45231300-8 Roboty budowlane w zakresie budowy wodociągów i rurociągów do odprowadzania ścieków</w:t>
      </w:r>
    </w:p>
    <w:p w14:paraId="11547077" w14:textId="1512587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45230000-8 Roboty budowlane w zakresie budowy rurociągów, linii komunikacyjnych i elektroenergetycznych, autostrad, dróg, lotnisk i kolei; wyrównywanie terenu</w:t>
      </w:r>
    </w:p>
    <w:p w14:paraId="6F6B4B5C" w14:textId="7BD84F8D"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45231000-5 Roboty budowlane w zakresie budowy rurociągów, ciągów komunikacyjnych i linii energetycznych</w:t>
      </w:r>
    </w:p>
    <w:p w14:paraId="0237093A"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lastRenderedPageBreak/>
        <w:t>45233252-0  Roboty w zakresie nawierzchni ulic</w:t>
      </w:r>
    </w:p>
    <w:p w14:paraId="1469B2D7"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45233253-7  Roboty w zakresie nawierzchni dróg dla pieszych</w:t>
      </w:r>
    </w:p>
    <w:p w14:paraId="35FEA180"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45232130-2  Roboty budowlane w zakresie rurociągów do odprowadzenia wody burzowej</w:t>
      </w:r>
    </w:p>
    <w:p w14:paraId="3D9A9E6B" w14:textId="77777777" w:rsidR="00A8628B" w:rsidRPr="00A8628B" w:rsidRDefault="00941DF2" w:rsidP="00A8628B">
      <w:pPr>
        <w:pStyle w:val="Akapitzlist"/>
        <w:spacing w:before="120" w:after="120" w:line="269" w:lineRule="auto"/>
        <w:ind w:left="360"/>
        <w:contextualSpacing/>
        <w:jc w:val="both"/>
        <w:rPr>
          <w:rFonts w:asciiTheme="minorHAnsi" w:eastAsiaTheme="majorEastAsia" w:hAnsiTheme="minorHAnsi" w:cstheme="minorHAnsi"/>
          <w:b/>
          <w:lang w:eastAsia="en-US"/>
        </w:rPr>
      </w:pPr>
      <w:r w:rsidRPr="00941DF2">
        <w:rPr>
          <w:rFonts w:asciiTheme="minorHAnsi" w:hAnsiTheme="minorHAnsi"/>
        </w:rPr>
        <w:t>34996100-6 Sygnalizatory drogowe</w:t>
      </w:r>
    </w:p>
    <w:p w14:paraId="32BA69D2" w14:textId="59702079" w:rsidR="002D242E" w:rsidRPr="002D242E" w:rsidRDefault="002D242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00DC4FAF"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prace związane z układaniem nawierzchni bitumicznych</w:t>
      </w:r>
      <w:r w:rsidR="00306956">
        <w:rPr>
          <w:rFonts w:asciiTheme="minorHAnsi" w:hAnsiTheme="minorHAnsi" w:cstheme="minorHAnsi"/>
        </w:rPr>
        <w:t>,</w:t>
      </w:r>
      <w:r w:rsidR="00AB452F">
        <w:rPr>
          <w:rFonts w:asciiTheme="minorHAnsi" w:hAnsiTheme="minorHAnsi" w:cstheme="minorHAnsi"/>
        </w:rPr>
        <w:t xml:space="preserve"> </w:t>
      </w:r>
      <w:bookmarkStart w:id="2" w:name="_Hlk161665498"/>
      <w:r w:rsidR="00AB452F">
        <w:rPr>
          <w:rFonts w:asciiTheme="minorHAnsi" w:hAnsiTheme="minorHAnsi" w:cstheme="minorHAnsi"/>
        </w:rPr>
        <w:t>budową kanalizacji deszczowej, sygnalizacji świetlnej</w:t>
      </w:r>
      <w:bookmarkEnd w:id="2"/>
      <w:r w:rsidR="00AB452F">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3716F2D"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1173DA">
        <w:rPr>
          <w:rFonts w:asciiTheme="minorHAnsi" w:hAnsiTheme="minorHAnsi" w:cstheme="minorHAnsi"/>
          <w:b/>
          <w:bCs/>
        </w:rPr>
        <w:t>1</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6E57846F"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BA20D3">
        <w:rPr>
          <w:rFonts w:asciiTheme="minorHAnsi" w:hAnsiTheme="minorHAnsi" w:cstheme="minorHAnsi"/>
        </w:rPr>
        <w:t>10</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4D27D6E5"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1173DA">
        <w:rPr>
          <w:rFonts w:asciiTheme="minorHAnsi" w:hAnsiTheme="minorHAnsi" w:cstheme="minorHAnsi"/>
        </w:rPr>
        <w:t>1</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lastRenderedPageBreak/>
        <w:t>Wykonawca jest zobowiązany przedłożyć Zamawiającemu w terminie 20 dni od podpisania umowy projekt tymczasowej organizacji ruchu do zaopiniowania lub wydania zatwierdzenia.</w:t>
      </w:r>
    </w:p>
    <w:bookmarkEnd w:id="3"/>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6AF9E11E"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BE265F">
        <w:rPr>
          <w:rFonts w:asciiTheme="minorHAnsi" w:hAnsiTheme="minorHAnsi" w:cstheme="minorHAnsi"/>
          <w:b/>
          <w:bCs/>
        </w:rPr>
        <w:t>8</w:t>
      </w:r>
      <w:r w:rsidR="003524E7">
        <w:rPr>
          <w:rFonts w:asciiTheme="minorHAnsi" w:hAnsiTheme="minorHAnsi" w:cstheme="minorHAnsi"/>
          <w:b/>
          <w:bCs/>
        </w:rPr>
        <w:t xml:space="preserve"> maja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5F91FA44"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BE265F">
        <w:rPr>
          <w:rFonts w:asciiTheme="minorHAnsi" w:hAnsiTheme="minorHAnsi" w:cstheme="minorHAnsi"/>
          <w:b/>
          <w:bCs/>
        </w:rPr>
        <w:t>8</w:t>
      </w:r>
      <w:r w:rsidR="003524E7">
        <w:rPr>
          <w:rFonts w:asciiTheme="minorHAnsi" w:hAnsiTheme="minorHAnsi" w:cstheme="minorHAnsi"/>
          <w:b/>
          <w:bCs/>
        </w:rPr>
        <w:t xml:space="preserve"> maja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3524E7" w:rsidRPr="003524E7">
        <w:rPr>
          <w:rFonts w:asciiTheme="minorHAnsi" w:hAnsiTheme="minorHAnsi" w:cstheme="minorHAnsi"/>
        </w:rPr>
        <w:t>918829</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2A274BFE"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3524E7" w:rsidRPr="003524E7">
        <w:rPr>
          <w:rFonts w:asciiTheme="minorHAnsi" w:hAnsiTheme="minorHAnsi" w:cstheme="minorHAnsi"/>
        </w:rPr>
        <w:t>918829</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28962115"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3524E7">
        <w:rPr>
          <w:rFonts w:asciiTheme="minorHAnsi" w:hAnsiTheme="minorHAnsi" w:cstheme="minorHAnsi"/>
          <w:b/>
          <w:bCs/>
        </w:rPr>
        <w:t>6 czerwca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4838C4E5"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w:t>
      </w:r>
      <w:proofErr w:type="spellStart"/>
      <w:r w:rsidRPr="007159FE">
        <w:rPr>
          <w:rFonts w:asciiTheme="minorHAnsi" w:hAnsiTheme="minorHAnsi" w:cstheme="minorHAnsi"/>
        </w:rPr>
        <w:t>ośw</w:t>
      </w:r>
      <w:proofErr w:type="spellEnd"/>
      <w:r w:rsidR="00810EE8">
        <w:rPr>
          <w:rFonts w:asciiTheme="minorHAnsi" w:hAnsiTheme="minorHAnsi" w:cstheme="minorHAnsi"/>
        </w:rPr>
        <w:t xml:space="preserve">  </w:t>
      </w:r>
      <w:proofErr w:type="spellStart"/>
      <w:r w:rsidRPr="007159FE">
        <w:rPr>
          <w:rFonts w:asciiTheme="minorHAnsi" w:hAnsiTheme="minorHAnsi" w:cstheme="minorHAnsi"/>
        </w:rPr>
        <w:t>iadczenia</w:t>
      </w:r>
      <w:proofErr w:type="spellEnd"/>
      <w:r w:rsidRPr="007159FE">
        <w:rPr>
          <w:rFonts w:asciiTheme="minorHAnsi" w:hAnsiTheme="minorHAnsi" w:cstheme="minorHAnsi"/>
        </w:rPr>
        <w:t xml:space="preserve">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867FB">
        <w:rPr>
          <w:rFonts w:asciiTheme="minorHAnsi" w:hAnsiTheme="minorHAnsi" w:cstheme="minorHAnsi"/>
        </w:rPr>
        <w:lastRenderedPageBreak/>
        <w:t>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lastRenderedPageBreak/>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2E84B38" w14:textId="77777777" w:rsidR="00070DA2" w:rsidRPr="00070DA2" w:rsidRDefault="00070DA2" w:rsidP="00070DA2">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polegające na budowie lub przebudowie lub rozbudowie lub remoncie drogi o nawierzchni z mieszanek mineralno-asfaltowych albo z betonu cementowego wraz z infrastrukturą (w tym kanalizacja deszczowa oraz sygnalizacja świetlna) o wartości dla każdej z robót nie mniejszej niż 2.500 000,00 złotych brutto (słownie: dwa miliony pięćset tysięcy złotych 00/100) i załączy dowody określające, że roboty te zostały wykonane należycie;</w:t>
      </w:r>
    </w:p>
    <w:p w14:paraId="349A9516" w14:textId="694385CB" w:rsidR="00070DA2" w:rsidRPr="00070DA2" w:rsidRDefault="00902EEA" w:rsidP="00070DA2">
      <w:pPr>
        <w:pStyle w:val="Akapitzlist"/>
        <w:spacing w:before="120" w:after="120" w:line="269" w:lineRule="auto"/>
        <w:ind w:left="720"/>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Alternatywnie </w:t>
      </w:r>
      <w:r w:rsidR="00070DA2" w:rsidRPr="00070DA2">
        <w:rPr>
          <w:rFonts w:asciiTheme="minorHAnsi" w:eastAsiaTheme="majorEastAsia" w:hAnsiTheme="minorHAnsi" w:cstheme="minorHAnsi"/>
          <w:lang w:eastAsia="en-US"/>
        </w:rPr>
        <w:t>Zamawiający uzna warunek za spełniony, jeśli Wykonawca wykaże, że nie wcześniej niż w okresie ostatnich 5 lat przed upływem terminu składania ofert, a jeżeli okres prowadzenia działalności jest krótszy - w tym okresie, wykonał</w:t>
      </w:r>
    </w:p>
    <w:p w14:paraId="29563C7E" w14:textId="336B13AD" w:rsidR="00070DA2" w:rsidRPr="00070DA2" w:rsidRDefault="00070DA2" w:rsidP="00070DA2">
      <w:pPr>
        <w:pStyle w:val="Akapitzlist"/>
        <w:numPr>
          <w:ilvl w:val="4"/>
          <w:numId w:val="21"/>
        </w:numPr>
        <w:spacing w:before="120" w:after="120" w:line="269" w:lineRule="auto"/>
        <w:ind w:left="851"/>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co najmniej dwie roboty budowlane polegające na budowie lub przebudowie lub rozbudowie lub remoncie drogi o nawierzchni z mieszanek mineralno-asfaltowych albo z betonu cementowego wraz z infrastrukturą (w tym kanalizacja deszczowa) o wartości dla każdej z robót nie mniejszej niż 2.500 000,00 złotych brutto (słownie: dwa miliony pięćset tysięcy złotych 00/100) i załączy dowody określające, że roboty te zostały wykonane należycie;</w:t>
      </w:r>
    </w:p>
    <w:p w14:paraId="6C5B7CE5" w14:textId="77777777" w:rsidR="00070DA2" w:rsidRPr="00070DA2" w:rsidRDefault="00070DA2" w:rsidP="00070DA2">
      <w:pPr>
        <w:spacing w:before="120" w:after="120" w:line="269" w:lineRule="auto"/>
        <w:ind w:left="851"/>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oraz</w:t>
      </w:r>
    </w:p>
    <w:p w14:paraId="0CD35634" w14:textId="56582DD4" w:rsidR="00070DA2" w:rsidRPr="00070DA2" w:rsidRDefault="00070DA2" w:rsidP="00070DA2">
      <w:pPr>
        <w:pStyle w:val="Akapitzlist"/>
        <w:numPr>
          <w:ilvl w:val="4"/>
          <w:numId w:val="21"/>
        </w:numPr>
        <w:spacing w:before="120" w:after="120" w:line="269" w:lineRule="auto"/>
        <w:ind w:left="851"/>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co najmniej dwie roboty budowlane obejmujące swoim zakresem budowę lub przebudowę sygnalizacji świetlnej służącej do sterowania ruchem drogowym o wartości dla każdej z robót nie mniejszej niż 300 000,00 zł brutto (słownie: trzysta tysięcy złotych) i załączy dowody określające, że roboty te zostały wykonane należycie;</w:t>
      </w:r>
    </w:p>
    <w:p w14:paraId="6F15353E" w14:textId="050E985D" w:rsidR="00E26933" w:rsidRPr="006118C3" w:rsidRDefault="00E26933" w:rsidP="00070DA2">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podmiotu, na którego zdolnościach </w:t>
      </w:r>
      <w:r w:rsidRPr="006118C3">
        <w:rPr>
          <w:rFonts w:asciiTheme="minorHAnsi" w:eastAsiaTheme="majorEastAsia" w:hAnsiTheme="minorHAnsi" w:cstheme="minorHAnsi"/>
          <w:lang w:eastAsia="en-US"/>
        </w:rPr>
        <w:lastRenderedPageBreak/>
        <w:t>technicznych lub zawodowych polega Wykonawca wykaże, że dysponuje co najmniej jednym:</w:t>
      </w:r>
    </w:p>
    <w:p w14:paraId="1BA88F40" w14:textId="3BD60EC8"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2C8C4A51" w14:textId="23E72FF3"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130C74">
        <w:rPr>
          <w:rFonts w:asciiTheme="minorHAnsi" w:eastAsiaTheme="majorEastAsia" w:hAnsiTheme="minorHAnsi" w:cstheme="minorHAnsi"/>
          <w:lang w:eastAsia="en-US"/>
        </w:rPr>
        <w:t>).</w:t>
      </w:r>
    </w:p>
    <w:p w14:paraId="416F5EB8" w14:textId="029B0ADF" w:rsidR="00716C76" w:rsidRPr="00716C76" w:rsidRDefault="00716C76">
      <w:pPr>
        <w:pStyle w:val="Akapitzlist"/>
        <w:numPr>
          <w:ilvl w:val="0"/>
          <w:numId w:val="44"/>
        </w:numPr>
        <w:jc w:val="both"/>
        <w:rPr>
          <w:rFonts w:asciiTheme="minorHAnsi" w:eastAsiaTheme="majorEastAsia" w:hAnsiTheme="minorHAnsi" w:cstheme="minorHAnsi"/>
          <w:lang w:eastAsia="en-US"/>
        </w:rPr>
      </w:pPr>
      <w:r w:rsidRPr="00716C76">
        <w:rPr>
          <w:rFonts w:asciiTheme="minorHAnsi" w:eastAsiaTheme="majorEastAsia" w:hAnsiTheme="minorHAnsi" w:cstheme="minorHAnsi"/>
          <w:b/>
          <w:bCs/>
          <w:lang w:eastAsia="en-US"/>
        </w:rPr>
        <w:t>kierownikiem robót w branży elektrycznej i elektroenergetycznej</w:t>
      </w:r>
      <w:r w:rsidRPr="00716C7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00983E91" w:rsidRPr="00983E91">
        <w:rPr>
          <w:rFonts w:asciiTheme="minorHAnsi" w:eastAsiaTheme="majorEastAsia" w:hAnsiTheme="minorHAnsi" w:cstheme="minorHAnsi"/>
          <w:lang w:eastAsia="en-US"/>
        </w:rPr>
        <w:t>t.j</w:t>
      </w:r>
      <w:proofErr w:type="spellEnd"/>
      <w:r w:rsidR="00983E91" w:rsidRPr="00983E91">
        <w:rPr>
          <w:rFonts w:asciiTheme="minorHAnsi" w:eastAsiaTheme="majorEastAsia" w:hAnsiTheme="minorHAnsi" w:cstheme="minorHAnsi"/>
          <w:lang w:eastAsia="en-US"/>
        </w:rPr>
        <w:t>. Dz. U. z 2023, poz. 682</w:t>
      </w:r>
      <w:r w:rsidRPr="00716C76">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rsidP="00070DA2">
      <w:pPr>
        <w:pStyle w:val="Akapitzlist"/>
        <w:numPr>
          <w:ilvl w:val="0"/>
          <w:numId w:val="45"/>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50CF1BBD" w:rsidR="00E26933" w:rsidRPr="00070DA2" w:rsidRDefault="00E26933" w:rsidP="00070DA2">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070DA2">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lastRenderedPageBreak/>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Cs/>
          <w:lang w:eastAsia="en-US"/>
        </w:rPr>
        <w:lastRenderedPageBreak/>
        <w:t>(</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9"/>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 xml:space="preserve">podstawy wykluczenia, które </w:t>
      </w:r>
      <w:r w:rsidRPr="000B5DCD">
        <w:rPr>
          <w:rFonts w:asciiTheme="minorHAnsi" w:hAnsiTheme="minorHAnsi" w:cstheme="minorHAnsi"/>
        </w:rPr>
        <w:lastRenderedPageBreak/>
        <w:t>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w:t>
      </w:r>
      <w:r w:rsidRPr="00E95A95">
        <w:rPr>
          <w:rFonts w:asciiTheme="minorHAnsi" w:eastAsiaTheme="majorEastAsia" w:hAnsiTheme="minorHAnsi" w:cstheme="minorHAnsi"/>
          <w:bCs/>
          <w:lang w:eastAsia="en-US"/>
        </w:rPr>
        <w:lastRenderedPageBreak/>
        <w:t>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070DA2">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pPr>
        <w:pStyle w:val="Tekstpodstawowy"/>
        <w:numPr>
          <w:ilvl w:val="0"/>
          <w:numId w:val="24"/>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070DA2">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lastRenderedPageBreak/>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w:t>
      </w:r>
      <w:r w:rsidRPr="00AD36E7">
        <w:rPr>
          <w:rFonts w:asciiTheme="minorHAnsi" w:eastAsia="Calibri" w:hAnsiTheme="minorHAnsi" w:cstheme="minorHAnsi"/>
        </w:rPr>
        <w:lastRenderedPageBreak/>
        <w:t xml:space="preserve">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lastRenderedPageBreak/>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lastRenderedPageBreak/>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394D55AF" w:rsidR="003524E7"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DCF9BB" w14:textId="77777777" w:rsidR="003524E7" w:rsidRDefault="003524E7">
      <w:pPr>
        <w:spacing w:after="160" w:line="259" w:lineRule="auto"/>
        <w:rPr>
          <w:rFonts w:asciiTheme="minorHAnsi" w:hAnsiTheme="minorHAnsi" w:cstheme="minorHAnsi"/>
        </w:rPr>
      </w:pPr>
      <w:r>
        <w:rPr>
          <w:rFonts w:asciiTheme="minorHAnsi" w:hAnsiTheme="minorHAnsi" w:cstheme="minorHAnsi"/>
        </w:rPr>
        <w:br w:type="page"/>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lastRenderedPageBreak/>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F56081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3524E7" w:rsidRPr="003524E7">
        <w:rPr>
          <w:rFonts w:asciiTheme="minorHAnsi" w:hAnsiTheme="minorHAnsi" w:cstheme="minorHAnsi"/>
        </w:rPr>
        <w:t>918829</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lastRenderedPageBreak/>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w:t>
      </w:r>
      <w:r w:rsidRPr="00CB59EE">
        <w:rPr>
          <w:rFonts w:asciiTheme="minorHAnsi" w:hAnsiTheme="minorHAnsi" w:cstheme="minorHAnsi"/>
        </w:rPr>
        <w:lastRenderedPageBreak/>
        <w:t>umowy, wynikające z okoliczności, których nie można było przewidzieć w chwili zawierania umowy.</w:t>
      </w:r>
    </w:p>
    <w:p w14:paraId="1CDE20E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6D9DFCB" w:rsidR="00BF16AC" w:rsidRDefault="00B41829">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lastRenderedPageBreak/>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pPr>
        <w:pStyle w:val="Akapitzlist"/>
        <w:numPr>
          <w:ilvl w:val="0"/>
          <w:numId w:val="35"/>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pPr>
        <w:pStyle w:val="Akapitzlist"/>
        <w:numPr>
          <w:ilvl w:val="0"/>
          <w:numId w:val="35"/>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 xml:space="preserve">amawiający </w:t>
      </w:r>
      <w:r w:rsidRPr="00EC6C10">
        <w:rPr>
          <w:rFonts w:asciiTheme="minorHAnsi" w:hAnsiTheme="minorHAnsi" w:cstheme="minorHAnsi"/>
          <w:bCs/>
        </w:rPr>
        <w:lastRenderedPageBreak/>
        <w:t>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lastRenderedPageBreak/>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B0E8C73" w:rsidR="002A4AF7" w:rsidRPr="00D61251" w:rsidRDefault="002A4AF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A8628B" w:rsidRPr="00A8628B">
        <w:rPr>
          <w:rFonts w:asciiTheme="minorHAnsi" w:hAnsiTheme="minorHAnsi" w:cstheme="minorHAnsi"/>
          <w:b/>
          <w:bCs/>
        </w:rPr>
        <w:t>Budowa ul. Zimowej w Plewiskach -poprawa bezpieczeństwa komunikacyjnego na terenie gminy</w:t>
      </w:r>
      <w:r w:rsidR="003040EB">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 xml:space="preserve">bezwarunkowe, nieodwołalne, płatne na pierwsze żądanie, zobowiązanie gwaranta do wypłaty Zamawiającemu pełnej kwoty zabezpieczenia w przypadku, o którym mowa </w:t>
      </w:r>
      <w:r w:rsidRPr="00F64FEF">
        <w:rPr>
          <w:rFonts w:asciiTheme="minorHAnsi" w:hAnsiTheme="minorHAnsi" w:cstheme="minorHAnsi"/>
        </w:rPr>
        <w:lastRenderedPageBreak/>
        <w:t>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 xml:space="preserve">Jeżeli zostanie wybrana oferta Wykonawców wspólnie ubiegających się o udzielenie zamówienia, Zamawiający będzie żądał przed zawarciem umowy w sprawie zamówienia </w:t>
      </w:r>
      <w:r w:rsidRPr="002A4AF7">
        <w:rPr>
          <w:rFonts w:asciiTheme="minorHAnsi" w:hAnsiTheme="minorHAnsi" w:cstheme="minorHAnsi"/>
        </w:rPr>
        <w:lastRenderedPageBreak/>
        <w:t>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354770C5"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A8628B">
        <w:rPr>
          <w:rFonts w:asciiTheme="minorHAnsi" w:hAnsiTheme="minorHAnsi" w:cstheme="minorHAnsi"/>
        </w:rPr>
        <w:t>5 0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lastRenderedPageBreak/>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w:t>
      </w:r>
      <w:r w:rsidRPr="00A867FB">
        <w:rPr>
          <w:rFonts w:asciiTheme="minorHAnsi" w:hAnsiTheme="minorHAnsi" w:cstheme="minorHAnsi"/>
          <w:bCs/>
          <w:iCs/>
        </w:rPr>
        <w:lastRenderedPageBreak/>
        <w:t xml:space="preserve">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3524E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pPr>
        <w:pStyle w:val="pkt"/>
        <w:numPr>
          <w:ilvl w:val="6"/>
          <w:numId w:val="3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732EF4"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0381898" w14:textId="342CE84C" w:rsidR="00732EF4" w:rsidRPr="00643218" w:rsidRDefault="00732EF4">
      <w:pPr>
        <w:pStyle w:val="pkt"/>
        <w:numPr>
          <w:ilvl w:val="6"/>
          <w:numId w:val="37"/>
        </w:numPr>
        <w:tabs>
          <w:tab w:val="left" w:pos="426"/>
        </w:tabs>
        <w:spacing w:before="0" w:after="160" w:line="259" w:lineRule="auto"/>
        <w:ind w:left="425" w:hanging="357"/>
        <w:rPr>
          <w:rFonts w:cstheme="minorHAnsi"/>
        </w:rPr>
      </w:pPr>
      <w:r>
        <w:rPr>
          <w:rFonts w:cstheme="minorHAnsi"/>
          <w:szCs w:val="24"/>
        </w:rPr>
        <w:t>Pytania i odpowiedzi</w:t>
      </w:r>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7C02BB">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55359" w14:textId="77777777" w:rsidR="007C02BB" w:rsidRDefault="007C02BB" w:rsidP="006A6065">
      <w:r>
        <w:separator/>
      </w:r>
    </w:p>
  </w:endnote>
  <w:endnote w:type="continuationSeparator" w:id="0">
    <w:p w14:paraId="4E26CD98" w14:textId="77777777" w:rsidR="007C02BB" w:rsidRDefault="007C02BB"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004EC" w14:textId="77777777" w:rsidR="007C02BB" w:rsidRDefault="007C02BB" w:rsidP="006A6065">
      <w:r>
        <w:separator/>
      </w:r>
    </w:p>
  </w:footnote>
  <w:footnote w:type="continuationSeparator" w:id="0">
    <w:p w14:paraId="2D2ECBD4" w14:textId="77777777" w:rsidR="007C02BB" w:rsidRDefault="007C02BB"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8"/>
  </w:num>
  <w:num w:numId="2" w16cid:durableId="2076734665">
    <w:abstractNumId w:val="26"/>
  </w:num>
  <w:num w:numId="3" w16cid:durableId="880017669">
    <w:abstractNumId w:val="31"/>
  </w:num>
  <w:num w:numId="4" w16cid:durableId="2013338083">
    <w:abstractNumId w:val="15"/>
  </w:num>
  <w:num w:numId="5" w16cid:durableId="712120823">
    <w:abstractNumId w:val="34"/>
  </w:num>
  <w:num w:numId="6" w16cid:durableId="1727874765">
    <w:abstractNumId w:val="6"/>
  </w:num>
  <w:num w:numId="7" w16cid:durableId="877745999">
    <w:abstractNumId w:val="30"/>
  </w:num>
  <w:num w:numId="8" w16cid:durableId="40792067">
    <w:abstractNumId w:val="23"/>
  </w:num>
  <w:num w:numId="9" w16cid:durableId="1928659892">
    <w:abstractNumId w:val="11"/>
  </w:num>
  <w:num w:numId="10" w16cid:durableId="2030175887">
    <w:abstractNumId w:val="33"/>
  </w:num>
  <w:num w:numId="11" w16cid:durableId="36396149">
    <w:abstractNumId w:val="2"/>
  </w:num>
  <w:num w:numId="12" w16cid:durableId="2029212138">
    <w:abstractNumId w:val="32"/>
  </w:num>
  <w:num w:numId="13" w16cid:durableId="2099447494">
    <w:abstractNumId w:val="20"/>
  </w:num>
  <w:num w:numId="14" w16cid:durableId="1149708825">
    <w:abstractNumId w:val="27"/>
  </w:num>
  <w:num w:numId="15" w16cid:durableId="635455684">
    <w:abstractNumId w:val="12"/>
  </w:num>
  <w:num w:numId="16" w16cid:durableId="2088337299">
    <w:abstractNumId w:val="35"/>
  </w:num>
  <w:num w:numId="17" w16cid:durableId="905412197">
    <w:abstractNumId w:val="14"/>
  </w:num>
  <w:num w:numId="18" w16cid:durableId="694771568">
    <w:abstractNumId w:val="0"/>
  </w:num>
  <w:num w:numId="19" w16cid:durableId="92212620">
    <w:abstractNumId w:val="40"/>
  </w:num>
  <w:num w:numId="20" w16cid:durableId="1253470376">
    <w:abstractNumId w:val="8"/>
  </w:num>
  <w:num w:numId="21" w16cid:durableId="38744015">
    <w:abstractNumId w:val="25"/>
  </w:num>
  <w:num w:numId="22" w16cid:durableId="778330035">
    <w:abstractNumId w:val="42"/>
  </w:num>
  <w:num w:numId="23" w16cid:durableId="1027876650">
    <w:abstractNumId w:val="19"/>
  </w:num>
  <w:num w:numId="24" w16cid:durableId="675570919">
    <w:abstractNumId w:val="29"/>
  </w:num>
  <w:num w:numId="25" w16cid:durableId="946502200">
    <w:abstractNumId w:val="43"/>
  </w:num>
  <w:num w:numId="26" w16cid:durableId="160123552">
    <w:abstractNumId w:val="10"/>
  </w:num>
  <w:num w:numId="27" w16cid:durableId="1506894852">
    <w:abstractNumId w:val="17"/>
  </w:num>
  <w:num w:numId="28" w16cid:durableId="1308049351">
    <w:abstractNumId w:val="36"/>
  </w:num>
  <w:num w:numId="29" w16cid:durableId="1191064499">
    <w:abstractNumId w:val="16"/>
  </w:num>
  <w:num w:numId="30" w16cid:durableId="1026718188">
    <w:abstractNumId w:val="39"/>
  </w:num>
  <w:num w:numId="31" w16cid:durableId="2021807359">
    <w:abstractNumId w:val="37"/>
  </w:num>
  <w:num w:numId="32" w16cid:durableId="603414807">
    <w:abstractNumId w:val="41"/>
  </w:num>
  <w:num w:numId="33" w16cid:durableId="1298992679">
    <w:abstractNumId w:val="22"/>
  </w:num>
  <w:num w:numId="34" w16cid:durableId="1918902528">
    <w:abstractNumId w:val="18"/>
  </w:num>
  <w:num w:numId="35" w16cid:durableId="1597248167">
    <w:abstractNumId w:val="28"/>
  </w:num>
  <w:num w:numId="36" w16cid:durableId="622883699">
    <w:abstractNumId w:val="1"/>
  </w:num>
  <w:num w:numId="37" w16cid:durableId="890774411">
    <w:abstractNumId w:val="21"/>
  </w:num>
  <w:num w:numId="38" w16cid:durableId="522943100">
    <w:abstractNumId w:val="5"/>
  </w:num>
  <w:num w:numId="39" w16cid:durableId="1132795970">
    <w:abstractNumId w:val="7"/>
  </w:num>
  <w:num w:numId="40" w16cid:durableId="1986205579">
    <w:abstractNumId w:val="9"/>
  </w:num>
  <w:num w:numId="41" w16cid:durableId="1845440675">
    <w:abstractNumId w:val="4"/>
  </w:num>
  <w:num w:numId="42" w16cid:durableId="1179810515">
    <w:abstractNumId w:val="24"/>
  </w:num>
  <w:num w:numId="43" w16cid:durableId="673073878">
    <w:abstractNumId w:val="44"/>
  </w:num>
  <w:num w:numId="44" w16cid:durableId="466515235">
    <w:abstractNumId w:val="3"/>
  </w:num>
  <w:num w:numId="45" w16cid:durableId="28246469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0DA2"/>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1F7DDA"/>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4E7"/>
    <w:rsid w:val="00352A09"/>
    <w:rsid w:val="00353CDA"/>
    <w:rsid w:val="0035536F"/>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194D"/>
    <w:rsid w:val="00602A33"/>
    <w:rsid w:val="00602EC5"/>
    <w:rsid w:val="00605793"/>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2EF4"/>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02BB"/>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2EEA"/>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3E91"/>
    <w:rsid w:val="0098505A"/>
    <w:rsid w:val="0098751F"/>
    <w:rsid w:val="00990095"/>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D64C4"/>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265F"/>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810"/>
    <w:rsid w:val="00C63CB4"/>
    <w:rsid w:val="00C63EEA"/>
    <w:rsid w:val="00C64729"/>
    <w:rsid w:val="00C66293"/>
    <w:rsid w:val="00C66DE2"/>
    <w:rsid w:val="00C70873"/>
    <w:rsid w:val="00C7380D"/>
    <w:rsid w:val="00C75DDC"/>
    <w:rsid w:val="00C777E0"/>
    <w:rsid w:val="00C86D5E"/>
    <w:rsid w:val="00C87DFA"/>
    <w:rsid w:val="00C907DC"/>
    <w:rsid w:val="00C90C10"/>
    <w:rsid w:val="00C94866"/>
    <w:rsid w:val="00C94A61"/>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A27"/>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12995</Words>
  <Characters>77974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4</cp:revision>
  <cp:lastPrinted>2024-04-23T07:30:00Z</cp:lastPrinted>
  <dcterms:created xsi:type="dcterms:W3CDTF">2024-04-23T06:14:00Z</dcterms:created>
  <dcterms:modified xsi:type="dcterms:W3CDTF">2024-04-23T07:31:00Z</dcterms:modified>
</cp:coreProperties>
</file>