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B72" w:rsidRPr="0074575F" w:rsidRDefault="00C07B72" w:rsidP="00C07B72">
      <w:pPr>
        <w:pStyle w:val="Tekstpodstawowy"/>
        <w:jc w:val="right"/>
        <w:rPr>
          <w:rFonts w:asciiTheme="minorHAnsi" w:hAnsiTheme="minorHAnsi" w:cstheme="minorHAnsi"/>
          <w:sz w:val="22"/>
          <w:szCs w:val="22"/>
        </w:rPr>
      </w:pPr>
      <w:r w:rsidRPr="0074575F">
        <w:rPr>
          <w:rFonts w:asciiTheme="minorHAnsi" w:hAnsiTheme="minorHAnsi" w:cstheme="minorHAnsi"/>
          <w:b/>
          <w:bCs/>
          <w:sz w:val="22"/>
          <w:szCs w:val="22"/>
        </w:rPr>
        <w:t xml:space="preserve">  </w:t>
      </w:r>
      <w:r w:rsidRPr="0074575F">
        <w:rPr>
          <w:rFonts w:asciiTheme="minorHAnsi" w:hAnsiTheme="minorHAnsi" w:cstheme="minorHAnsi"/>
          <w:b/>
          <w:bCs/>
          <w:color w:val="000000"/>
          <w:sz w:val="22"/>
          <w:szCs w:val="22"/>
        </w:rPr>
        <w:t>M-I-2310-  ……./2024</w:t>
      </w:r>
    </w:p>
    <w:p w:rsidR="00C07B72" w:rsidRPr="0074575F" w:rsidRDefault="00C07B72" w:rsidP="00C07B72">
      <w:pPr>
        <w:pStyle w:val="Tekstpodstawowy"/>
        <w:rPr>
          <w:rFonts w:asciiTheme="minorHAnsi" w:hAnsiTheme="minorHAnsi" w:cstheme="minorHAnsi"/>
          <w:b/>
          <w:bCs/>
          <w:sz w:val="22"/>
          <w:szCs w:val="22"/>
        </w:rPr>
      </w:pPr>
      <w:r w:rsidRPr="0074575F">
        <w:rPr>
          <w:rFonts w:asciiTheme="minorHAnsi" w:hAnsiTheme="minorHAnsi" w:cstheme="minorHAnsi"/>
          <w:b/>
          <w:bCs/>
          <w:sz w:val="22"/>
          <w:szCs w:val="22"/>
        </w:rPr>
        <w:t>Załącznik nr 1</w:t>
      </w:r>
      <w:r w:rsidR="0074575F">
        <w:rPr>
          <w:rFonts w:asciiTheme="minorHAnsi" w:hAnsiTheme="minorHAnsi" w:cstheme="minorHAnsi"/>
          <w:b/>
          <w:bCs/>
          <w:sz w:val="22"/>
          <w:szCs w:val="22"/>
        </w:rPr>
        <w:t xml:space="preserve"> do umowy</w:t>
      </w:r>
      <w:r w:rsidR="00E55F87" w:rsidRPr="0074575F">
        <w:rPr>
          <w:rFonts w:asciiTheme="minorHAnsi" w:hAnsiTheme="minorHAnsi" w:cstheme="minorHAnsi"/>
          <w:b/>
          <w:bCs/>
          <w:sz w:val="22"/>
          <w:szCs w:val="22"/>
        </w:rPr>
        <w:t>, Zadanie nr 1</w:t>
      </w:r>
      <w:r w:rsidR="004026B0">
        <w:rPr>
          <w:rFonts w:asciiTheme="minorHAnsi" w:hAnsiTheme="minorHAnsi" w:cstheme="minorHAnsi"/>
          <w:b/>
          <w:bCs/>
          <w:sz w:val="22"/>
          <w:szCs w:val="22"/>
        </w:rPr>
        <w:t xml:space="preserve"> (</w:t>
      </w:r>
      <w:bookmarkStart w:id="0" w:name="_GoBack"/>
      <w:bookmarkEnd w:id="0"/>
      <w:r w:rsidR="004026B0">
        <w:rPr>
          <w:rFonts w:asciiTheme="minorHAnsi" w:hAnsiTheme="minorHAnsi" w:cstheme="minorHAnsi"/>
          <w:b/>
          <w:bCs/>
          <w:sz w:val="22"/>
          <w:szCs w:val="22"/>
        </w:rPr>
        <w:t>uwzględniający zmiany wprowadzone dnia 25.09.2024 r.)</w:t>
      </w:r>
    </w:p>
    <w:tbl>
      <w:tblPr>
        <w:tblW w:w="13914" w:type="dxa"/>
        <w:tblInd w:w="55" w:type="dxa"/>
        <w:tblLayout w:type="fixed"/>
        <w:tblCellMar>
          <w:top w:w="55" w:type="dxa"/>
          <w:left w:w="55" w:type="dxa"/>
          <w:bottom w:w="55" w:type="dxa"/>
          <w:right w:w="55" w:type="dxa"/>
        </w:tblCellMar>
        <w:tblLook w:val="0000" w:firstRow="0" w:lastRow="0" w:firstColumn="0" w:lastColumn="0" w:noHBand="0" w:noVBand="0"/>
      </w:tblPr>
      <w:tblGrid>
        <w:gridCol w:w="450"/>
        <w:gridCol w:w="1677"/>
        <w:gridCol w:w="8445"/>
        <w:gridCol w:w="567"/>
        <w:gridCol w:w="592"/>
        <w:gridCol w:w="2183"/>
      </w:tblGrid>
      <w:tr w:rsidR="0074575F" w:rsidRPr="0074575F" w:rsidTr="0074575F">
        <w:trPr>
          <w:trHeight w:val="574"/>
        </w:trPr>
        <w:tc>
          <w:tcPr>
            <w:tcW w:w="450" w:type="dxa"/>
            <w:tcBorders>
              <w:top w:val="single" w:sz="4" w:space="0" w:color="auto"/>
              <w:left w:val="single" w:sz="4" w:space="0" w:color="auto"/>
              <w:bottom w:val="single" w:sz="4" w:space="0" w:color="auto"/>
              <w:right w:val="single" w:sz="4" w:space="0" w:color="auto"/>
            </w:tcBorders>
            <w:shd w:val="clear" w:color="auto" w:fill="auto"/>
          </w:tcPr>
          <w:p w:rsidR="0074575F" w:rsidRPr="00FC524A" w:rsidRDefault="0074575F" w:rsidP="007D607C">
            <w:pPr>
              <w:jc w:val="center"/>
              <w:rPr>
                <w:rFonts w:asciiTheme="minorHAnsi" w:hAnsiTheme="minorHAnsi" w:cstheme="minorHAnsi"/>
                <w:b/>
                <w:sz w:val="22"/>
                <w:szCs w:val="22"/>
              </w:rPr>
            </w:pPr>
            <w:r w:rsidRPr="00FC524A">
              <w:rPr>
                <w:rFonts w:asciiTheme="minorHAnsi" w:hAnsiTheme="minorHAnsi" w:cstheme="minorHAnsi"/>
                <w:b/>
                <w:sz w:val="22"/>
                <w:szCs w:val="22"/>
              </w:rPr>
              <w:t>l.p.</w:t>
            </w:r>
          </w:p>
        </w:tc>
        <w:tc>
          <w:tcPr>
            <w:tcW w:w="1677" w:type="dxa"/>
            <w:tcBorders>
              <w:top w:val="single" w:sz="4" w:space="0" w:color="auto"/>
              <w:left w:val="single" w:sz="4" w:space="0" w:color="auto"/>
              <w:bottom w:val="single" w:sz="4" w:space="0" w:color="auto"/>
              <w:right w:val="single" w:sz="4" w:space="0" w:color="auto"/>
            </w:tcBorders>
          </w:tcPr>
          <w:p w:rsidR="0074575F" w:rsidRPr="00FC524A" w:rsidRDefault="0074575F" w:rsidP="007D607C">
            <w:pPr>
              <w:jc w:val="center"/>
              <w:rPr>
                <w:rFonts w:asciiTheme="minorHAnsi" w:hAnsiTheme="minorHAnsi" w:cstheme="minorHAnsi"/>
                <w:b/>
                <w:sz w:val="22"/>
                <w:szCs w:val="22"/>
              </w:rPr>
            </w:pPr>
            <w:r w:rsidRPr="00FC524A">
              <w:rPr>
                <w:rFonts w:asciiTheme="minorHAnsi" w:hAnsiTheme="minorHAnsi" w:cstheme="minorHAnsi"/>
                <w:b/>
                <w:sz w:val="22"/>
                <w:szCs w:val="22"/>
              </w:rPr>
              <w:t>Przedmiot Zamówienia</w:t>
            </w:r>
          </w:p>
          <w:p w:rsidR="0074575F" w:rsidRPr="00FC524A" w:rsidRDefault="0074575F" w:rsidP="007D607C">
            <w:pPr>
              <w:jc w:val="center"/>
              <w:rPr>
                <w:rFonts w:asciiTheme="minorHAnsi" w:hAnsiTheme="minorHAnsi" w:cstheme="minorHAnsi"/>
                <w:b/>
                <w:sz w:val="22"/>
                <w:szCs w:val="22"/>
              </w:rPr>
            </w:pPr>
          </w:p>
        </w:tc>
        <w:tc>
          <w:tcPr>
            <w:tcW w:w="8445" w:type="dxa"/>
            <w:tcBorders>
              <w:top w:val="single" w:sz="4" w:space="0" w:color="auto"/>
              <w:left w:val="single" w:sz="4" w:space="0" w:color="auto"/>
              <w:bottom w:val="single" w:sz="4" w:space="0" w:color="auto"/>
              <w:right w:val="single" w:sz="4" w:space="0" w:color="auto"/>
            </w:tcBorders>
            <w:shd w:val="clear" w:color="auto" w:fill="auto"/>
          </w:tcPr>
          <w:p w:rsidR="00FC524A" w:rsidRPr="00FC524A" w:rsidRDefault="00FC524A" w:rsidP="007D607C">
            <w:pPr>
              <w:jc w:val="center"/>
              <w:rPr>
                <w:rFonts w:asciiTheme="minorHAnsi" w:hAnsiTheme="minorHAnsi" w:cstheme="minorHAnsi"/>
                <w:b/>
                <w:sz w:val="22"/>
                <w:szCs w:val="22"/>
              </w:rPr>
            </w:pPr>
          </w:p>
          <w:p w:rsidR="0074575F" w:rsidRPr="00FC524A" w:rsidRDefault="00FC524A" w:rsidP="007D607C">
            <w:pPr>
              <w:jc w:val="center"/>
              <w:rPr>
                <w:rFonts w:asciiTheme="minorHAnsi" w:hAnsiTheme="minorHAnsi" w:cstheme="minorHAnsi"/>
                <w:b/>
                <w:sz w:val="22"/>
                <w:szCs w:val="22"/>
              </w:rPr>
            </w:pPr>
            <w:r w:rsidRPr="00FC524A">
              <w:rPr>
                <w:rFonts w:asciiTheme="minorHAnsi" w:hAnsiTheme="minorHAnsi" w:cstheme="minorHAnsi"/>
                <w:b/>
                <w:sz w:val="22"/>
                <w:szCs w:val="22"/>
              </w:rPr>
              <w:t xml:space="preserve">Opis przedmiotu zamówienia – parametry minimalne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4575F" w:rsidRPr="00FC524A" w:rsidRDefault="0074575F" w:rsidP="007D607C">
            <w:pPr>
              <w:jc w:val="center"/>
              <w:rPr>
                <w:rFonts w:asciiTheme="minorHAnsi" w:hAnsiTheme="minorHAnsi" w:cstheme="minorHAnsi"/>
                <w:b/>
                <w:sz w:val="22"/>
                <w:szCs w:val="22"/>
              </w:rPr>
            </w:pPr>
            <w:proofErr w:type="spellStart"/>
            <w:r w:rsidRPr="00FC524A">
              <w:rPr>
                <w:rFonts w:asciiTheme="minorHAnsi" w:hAnsiTheme="minorHAnsi" w:cstheme="minorHAnsi"/>
                <w:b/>
                <w:sz w:val="22"/>
                <w:szCs w:val="22"/>
              </w:rPr>
              <w:t>j.m</w:t>
            </w:r>
            <w:proofErr w:type="spellEnd"/>
            <w:r w:rsidRPr="00FC524A">
              <w:rPr>
                <w:rFonts w:asciiTheme="minorHAnsi" w:hAnsiTheme="minorHAnsi" w:cstheme="minorHAnsi"/>
                <w:b/>
                <w:sz w:val="22"/>
                <w:szCs w:val="22"/>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74575F" w:rsidRPr="00FC524A" w:rsidRDefault="0074575F" w:rsidP="007D607C">
            <w:pPr>
              <w:jc w:val="center"/>
              <w:rPr>
                <w:rFonts w:asciiTheme="minorHAnsi" w:hAnsiTheme="minorHAnsi" w:cstheme="minorHAnsi"/>
                <w:b/>
                <w:sz w:val="22"/>
                <w:szCs w:val="22"/>
              </w:rPr>
            </w:pPr>
            <w:r w:rsidRPr="00FC524A">
              <w:rPr>
                <w:rFonts w:asciiTheme="minorHAnsi" w:hAnsiTheme="minorHAnsi" w:cstheme="minorHAnsi"/>
                <w:b/>
                <w:sz w:val="22"/>
                <w:szCs w:val="22"/>
              </w:rPr>
              <w:t>Ilość</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74575F" w:rsidRPr="00FC524A" w:rsidRDefault="0074575F" w:rsidP="007D607C">
            <w:pPr>
              <w:jc w:val="center"/>
              <w:rPr>
                <w:rFonts w:asciiTheme="minorHAnsi" w:hAnsiTheme="minorHAnsi" w:cstheme="minorHAnsi"/>
                <w:b/>
                <w:sz w:val="22"/>
                <w:szCs w:val="22"/>
              </w:rPr>
            </w:pPr>
            <w:r w:rsidRPr="00FC524A">
              <w:rPr>
                <w:rFonts w:asciiTheme="minorHAnsi" w:eastAsia="Times New Roman" w:hAnsiTheme="minorHAnsi" w:cstheme="minorHAnsi"/>
                <w:b/>
                <w:sz w:val="22"/>
                <w:szCs w:val="22"/>
              </w:rPr>
              <w:t xml:space="preserve"> </w:t>
            </w:r>
            <w:r w:rsidRPr="00FC524A">
              <w:rPr>
                <w:rFonts w:asciiTheme="minorHAnsi" w:hAnsiTheme="minorHAnsi" w:cstheme="minorHAnsi"/>
                <w:b/>
                <w:sz w:val="22"/>
                <w:szCs w:val="22"/>
              </w:rPr>
              <w:t>cena jednostkowa brutto</w:t>
            </w:r>
          </w:p>
        </w:tc>
      </w:tr>
      <w:tr w:rsidR="0074575F" w:rsidRPr="0074575F" w:rsidTr="0074575F">
        <w:tc>
          <w:tcPr>
            <w:tcW w:w="450" w:type="dxa"/>
            <w:tcBorders>
              <w:top w:val="single" w:sz="4" w:space="0" w:color="auto"/>
              <w:left w:val="single" w:sz="4" w:space="0" w:color="auto"/>
              <w:bottom w:val="single" w:sz="4" w:space="0" w:color="auto"/>
              <w:right w:val="single" w:sz="4" w:space="0" w:color="auto"/>
            </w:tcBorders>
            <w:shd w:val="clear" w:color="auto" w:fill="auto"/>
          </w:tcPr>
          <w:p w:rsidR="0074575F" w:rsidRPr="0074575F" w:rsidRDefault="0074575F" w:rsidP="007D607C">
            <w:pPr>
              <w:pStyle w:val="Zawartotabeli"/>
              <w:rPr>
                <w:rFonts w:asciiTheme="minorHAnsi" w:hAnsiTheme="minorHAnsi" w:cstheme="minorHAnsi"/>
                <w:sz w:val="22"/>
                <w:szCs w:val="22"/>
              </w:rPr>
            </w:pPr>
            <w:r w:rsidRPr="0074575F">
              <w:rPr>
                <w:rFonts w:asciiTheme="minorHAnsi" w:hAnsiTheme="minorHAnsi" w:cstheme="minorHAnsi"/>
                <w:color w:val="000000"/>
                <w:sz w:val="22"/>
                <w:szCs w:val="22"/>
              </w:rPr>
              <w:t>1</w:t>
            </w:r>
          </w:p>
        </w:tc>
        <w:tc>
          <w:tcPr>
            <w:tcW w:w="1677" w:type="dxa"/>
            <w:tcBorders>
              <w:top w:val="single" w:sz="4" w:space="0" w:color="auto"/>
              <w:left w:val="single" w:sz="4" w:space="0" w:color="auto"/>
              <w:bottom w:val="single" w:sz="4" w:space="0" w:color="auto"/>
              <w:right w:val="single" w:sz="4" w:space="0" w:color="auto"/>
            </w:tcBorders>
            <w:vAlign w:val="center"/>
          </w:tcPr>
          <w:p w:rsidR="0074575F" w:rsidRPr="0074575F" w:rsidRDefault="0074575F" w:rsidP="00FC524A">
            <w:pPr>
              <w:autoSpaceDE w:val="0"/>
              <w:autoSpaceDN w:val="0"/>
              <w:adjustRightInd w:val="0"/>
              <w:spacing w:line="360" w:lineRule="auto"/>
              <w:rPr>
                <w:rFonts w:asciiTheme="minorHAnsi" w:hAnsiTheme="minorHAnsi" w:cstheme="minorHAnsi"/>
                <w:b/>
                <w:bCs/>
                <w:sz w:val="22"/>
                <w:szCs w:val="22"/>
              </w:rPr>
            </w:pPr>
            <w:r w:rsidRPr="0074575F">
              <w:rPr>
                <w:rFonts w:asciiTheme="minorHAnsi" w:hAnsiTheme="minorHAnsi" w:cstheme="minorHAnsi"/>
                <w:b/>
                <w:bCs/>
                <w:sz w:val="22"/>
                <w:szCs w:val="22"/>
              </w:rPr>
              <w:t xml:space="preserve">Amplifikator DNA – </w:t>
            </w:r>
            <w:proofErr w:type="spellStart"/>
            <w:r w:rsidRPr="0074575F">
              <w:rPr>
                <w:rFonts w:asciiTheme="minorHAnsi" w:hAnsiTheme="minorHAnsi" w:cstheme="minorHAnsi"/>
                <w:b/>
                <w:bCs/>
                <w:sz w:val="22"/>
                <w:szCs w:val="22"/>
              </w:rPr>
              <w:t>termocykler</w:t>
            </w:r>
            <w:proofErr w:type="spellEnd"/>
            <w:r w:rsidRPr="0074575F">
              <w:rPr>
                <w:rFonts w:asciiTheme="minorHAnsi" w:hAnsiTheme="minorHAnsi" w:cstheme="minorHAnsi"/>
                <w:b/>
                <w:bCs/>
                <w:sz w:val="22"/>
                <w:szCs w:val="22"/>
              </w:rPr>
              <w:t xml:space="preserve"> </w:t>
            </w:r>
            <w:proofErr w:type="spellStart"/>
            <w:r w:rsidRPr="0074575F">
              <w:rPr>
                <w:rFonts w:asciiTheme="minorHAnsi" w:hAnsiTheme="minorHAnsi" w:cstheme="minorHAnsi"/>
                <w:b/>
                <w:bCs/>
                <w:sz w:val="22"/>
                <w:szCs w:val="22"/>
              </w:rPr>
              <w:t>Veriti</w:t>
            </w:r>
            <w:proofErr w:type="spellEnd"/>
            <w:r w:rsidRPr="0074575F">
              <w:rPr>
                <w:rFonts w:asciiTheme="minorHAnsi" w:hAnsiTheme="minorHAnsi" w:cstheme="minorHAnsi"/>
                <w:b/>
                <w:bCs/>
                <w:sz w:val="22"/>
                <w:szCs w:val="22"/>
              </w:rPr>
              <w:t xml:space="preserve"> Pro</w:t>
            </w:r>
          </w:p>
          <w:p w:rsidR="0074575F" w:rsidRPr="0074575F" w:rsidRDefault="0074575F" w:rsidP="007D607C">
            <w:pPr>
              <w:rPr>
                <w:rFonts w:asciiTheme="minorHAnsi" w:hAnsiTheme="minorHAnsi" w:cstheme="minorHAnsi"/>
                <w:sz w:val="22"/>
                <w:szCs w:val="22"/>
              </w:rPr>
            </w:pPr>
          </w:p>
        </w:tc>
        <w:tc>
          <w:tcPr>
            <w:tcW w:w="8445" w:type="dxa"/>
            <w:tcBorders>
              <w:top w:val="single" w:sz="4" w:space="0" w:color="auto"/>
              <w:left w:val="single" w:sz="4" w:space="0" w:color="auto"/>
              <w:bottom w:val="single" w:sz="4" w:space="0" w:color="auto"/>
              <w:right w:val="single" w:sz="4" w:space="0" w:color="auto"/>
            </w:tcBorders>
            <w:shd w:val="clear" w:color="auto" w:fill="auto"/>
            <w:vAlign w:val="center"/>
          </w:tcPr>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Urządzenie do powielania (zwielokrotniania ilości) fragmentów DNA w próbkach kryminalistycznych, przeznaczone do stosowania w genetyce sądowej.</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 xml:space="preserve">Urządzenie </w:t>
            </w:r>
            <w:proofErr w:type="spellStart"/>
            <w:r w:rsidRPr="0074575F">
              <w:rPr>
                <w:rFonts w:cstheme="minorHAnsi"/>
                <w:lang w:val="pl-PL"/>
              </w:rPr>
              <w:t>zwalidowane</w:t>
            </w:r>
            <w:proofErr w:type="spellEnd"/>
            <w:r w:rsidRPr="0074575F">
              <w:rPr>
                <w:rFonts w:cstheme="minorHAnsi"/>
                <w:lang w:val="pl-PL"/>
              </w:rPr>
              <w:t xml:space="preserve"> do pracy z komercyjnymi zestawami do jednoczesnej, multipleksowej amplifikacji i fluorescencyjnej detekcji fragmentów ludzkiego DNA na próbkach kryminalistycznych, zgodnie z zaleceniami Naukowej Grupy Roboczej ds. Metod Analizy DNA (SWGDAM) lub równoważnymi. Walidacja potwierdzona certyfikatem. </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 xml:space="preserve">Blok grzejny 96-dołkowy złożony z co najmniej 6 niezależnych bloków grzejnych działających w technologii </w:t>
            </w:r>
            <w:proofErr w:type="spellStart"/>
            <w:r w:rsidRPr="0074575F">
              <w:rPr>
                <w:rFonts w:cstheme="minorHAnsi"/>
                <w:lang w:val="pl-PL"/>
              </w:rPr>
              <w:t>Peltier’a</w:t>
            </w:r>
            <w:proofErr w:type="spellEnd"/>
            <w:r w:rsidRPr="0074575F">
              <w:rPr>
                <w:rFonts w:cstheme="minorHAnsi"/>
                <w:lang w:val="pl-PL"/>
              </w:rPr>
              <w:t>, z możliwością ustawienia różnicy temperatur między strefami co najmniej 5˚C jak i ustawienia jednorodnego profilu termicznego na całym bloku.</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 xml:space="preserve">Blok grzejny na 96 próbek, umożliwiający prowadzenie reakcji w mikropłytkach i probówkach do PCR (pojedynczych oraz w paskach) o pojemności 0,2 ml, przy objętości próby – co najmniej od 10 </w:t>
            </w:r>
            <w:r w:rsidRPr="0074575F">
              <w:rPr>
                <w:rFonts w:cstheme="minorHAnsi"/>
              </w:rPr>
              <w:t>μ</w:t>
            </w:r>
            <w:r w:rsidRPr="0074575F">
              <w:rPr>
                <w:rFonts w:cstheme="minorHAnsi"/>
                <w:lang w:val="pl-PL"/>
              </w:rPr>
              <w:t xml:space="preserve">l do 80 </w:t>
            </w:r>
            <w:r w:rsidRPr="0074575F">
              <w:rPr>
                <w:rFonts w:cstheme="minorHAnsi"/>
              </w:rPr>
              <w:t>μ</w:t>
            </w:r>
            <w:r w:rsidRPr="0074575F">
              <w:rPr>
                <w:rFonts w:cstheme="minorHAnsi"/>
                <w:lang w:val="pl-PL"/>
              </w:rPr>
              <w:t>l.</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Pokrywa grzejna do pracy bezolejowej z regulowaną temperaturą.</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Jednorodność rozkładu temperatur w bloku &lt; 0,5˚C, 30 sekund po starcie programu w 95˚C.</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proofErr w:type="spellStart"/>
            <w:r w:rsidRPr="0074575F">
              <w:rPr>
                <w:rFonts w:cstheme="minorHAnsi"/>
                <w:lang w:val="pl-PL"/>
              </w:rPr>
              <w:t>Ramping</w:t>
            </w:r>
            <w:proofErr w:type="spellEnd"/>
            <w:r w:rsidRPr="0074575F">
              <w:rPr>
                <w:rFonts w:cstheme="minorHAnsi"/>
                <w:lang w:val="pl-PL"/>
              </w:rPr>
              <w:t xml:space="preserve"> temperaturowy bloku – co najmniej 5 ºC/sek., </w:t>
            </w:r>
            <w:proofErr w:type="spellStart"/>
            <w:r w:rsidRPr="0074575F">
              <w:rPr>
                <w:rFonts w:cstheme="minorHAnsi"/>
                <w:lang w:val="pl-PL"/>
              </w:rPr>
              <w:t>ramping</w:t>
            </w:r>
            <w:proofErr w:type="spellEnd"/>
            <w:r w:rsidRPr="0074575F">
              <w:rPr>
                <w:rFonts w:cstheme="minorHAnsi"/>
                <w:lang w:val="pl-PL"/>
              </w:rPr>
              <w:t xml:space="preserve"> prób co najmniej 4ºC/sek..</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Autonomiczny system grzania i chłodzenia, bez wymogów zewnętrznego chłodzenia.</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 xml:space="preserve"> Zakres temperatury bloku od 0 ºC do 100 ºC.</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 xml:space="preserve"> Dokładność temperaturowa ≤ ± 0,25 ºC w zakresie 35-99 ºC.</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 xml:space="preserve"> Czas ustawialny z dokładnością do 1 sekundy.</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Praca i parametry urządzenia kontrolowane przez wysokiej jakości mikroprocesor znajdujący się wewnątrz urządzenia.</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Urządzenie monitoruje temperaturę dla próbki i rozpoczyna zadaną procedurę dopiero gdy próbka, a nie blok grzejny, osiągnie zadaną temperaturę.</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lastRenderedPageBreak/>
              <w:t>Urządzenie wyposażone w kolorowy panel dotykowy, co najmniej 8 calowy w technologii TFT LCD.</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Możliwość zapamiętania co najmniej 800 programów, możliwość organizacji zapisanych programów w folderach.</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Urządzenie wyposażone w wewnętrzny system bezpieczeństwa zabezpieczający przed dostępem nieuprawnionych osób do folderów czy metod, oparty na indywidualnym haśle użytkownika. Każdy użytkownik posiada swoją nazwę oraz hasło. Zabezpieczenia te mogą być wyłączone przez użytkownika.</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Oprogramowanie co najmniej o możliwościach:</w:t>
            </w:r>
          </w:p>
          <w:p w:rsidR="0074575F" w:rsidRPr="0074575F" w:rsidRDefault="0074575F" w:rsidP="00FC524A">
            <w:pPr>
              <w:pStyle w:val="Akapitzlist"/>
              <w:numPr>
                <w:ilvl w:val="1"/>
                <w:numId w:val="1"/>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możliwość programowania zmiennych szybkości przyrostu i opadania temperatury,</w:t>
            </w:r>
          </w:p>
          <w:p w:rsidR="0074575F" w:rsidRPr="0074575F" w:rsidRDefault="0074575F" w:rsidP="00FC524A">
            <w:pPr>
              <w:pStyle w:val="Akapitzlist"/>
              <w:numPr>
                <w:ilvl w:val="1"/>
                <w:numId w:val="1"/>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możliwość programowania przerw w procesie wprowadzanych ręcznie lub programowanych jako etapy nieskończonego podtrzymywania,</w:t>
            </w:r>
          </w:p>
          <w:p w:rsidR="0074575F" w:rsidRPr="0074575F" w:rsidRDefault="0074575F" w:rsidP="00FC524A">
            <w:pPr>
              <w:pStyle w:val="Akapitzlist"/>
              <w:numPr>
                <w:ilvl w:val="1"/>
                <w:numId w:val="1"/>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możliwość obserwowania na bieżąco realizowanego etapu programu,</w:t>
            </w:r>
          </w:p>
          <w:p w:rsidR="0074575F" w:rsidRPr="0074575F" w:rsidRDefault="0074575F" w:rsidP="00FC524A">
            <w:pPr>
              <w:pStyle w:val="Akapitzlist"/>
              <w:numPr>
                <w:ilvl w:val="1"/>
                <w:numId w:val="1"/>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możliwość wglądu w dane dotyczące czasu przebiegu oraz komunikaty zapisywane w pliku dziennika, który może być wyświetlany na ekranie i drukowany na zakończenie przebiegu każdego procesu PCR,</w:t>
            </w:r>
          </w:p>
          <w:p w:rsidR="0074575F" w:rsidRPr="0074575F" w:rsidRDefault="0074575F" w:rsidP="00FC524A">
            <w:pPr>
              <w:pStyle w:val="Akapitzlist"/>
              <w:numPr>
                <w:ilvl w:val="1"/>
                <w:numId w:val="1"/>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dane dotyczące czasu przebiegu obejmują nazwę metody, godzinę jej uruchomienia i całkowity czas przebiegu danego procesu,</w:t>
            </w:r>
          </w:p>
          <w:p w:rsidR="0074575F" w:rsidRPr="0074575F" w:rsidRDefault="0074575F" w:rsidP="00FC524A">
            <w:pPr>
              <w:pStyle w:val="Akapitzlist"/>
              <w:numPr>
                <w:ilvl w:val="1"/>
                <w:numId w:val="1"/>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możliwość przenoszenia danych z jednego urządzenia na drugie przy użyciu pamięci ze złączem USB,</w:t>
            </w:r>
          </w:p>
          <w:p w:rsidR="0074575F" w:rsidRPr="0074575F" w:rsidRDefault="0074575F" w:rsidP="00FC524A">
            <w:pPr>
              <w:pStyle w:val="Akapitzlist"/>
              <w:numPr>
                <w:ilvl w:val="1"/>
                <w:numId w:val="1"/>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oprogramowanie urządzenia pozwalające na programowanie programu Auto-Delta, który pozwala na inkrementację i dekrementację ustawionych czasów i/lub temperatur o stałą wielkość w kolejnych cyklach.</w:t>
            </w:r>
          </w:p>
          <w:p w:rsidR="0074575F" w:rsidRPr="0074575F" w:rsidRDefault="0074575F" w:rsidP="00FC524A">
            <w:pPr>
              <w:tabs>
                <w:tab w:val="left" w:pos="310"/>
              </w:tabs>
              <w:autoSpaceDE w:val="0"/>
              <w:autoSpaceDN w:val="0"/>
              <w:adjustRightInd w:val="0"/>
              <w:ind w:left="26" w:right="87"/>
              <w:jc w:val="both"/>
              <w:rPr>
                <w:rFonts w:asciiTheme="minorHAnsi" w:hAnsiTheme="minorHAnsi" w:cstheme="minorHAnsi"/>
                <w:sz w:val="22"/>
                <w:szCs w:val="22"/>
              </w:rPr>
            </w:pP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Urządzenie wyposażone w porty Ethernet lub szeregowe, zapewniające możliwość podłączania drukarki lub komputera (PC) oraz interfejs USB, do przenoszenia metod.</w:t>
            </w:r>
          </w:p>
          <w:p w:rsid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Urządzenie o wymiarach nie większych niż: wysokość 25 cm, szerokość 25 cm, długość 50 cm.</w:t>
            </w:r>
          </w:p>
          <w:p w:rsidR="0074575F" w:rsidRPr="0074575F" w:rsidRDefault="0074575F" w:rsidP="00FC524A">
            <w:pPr>
              <w:pStyle w:val="Akapitzlist"/>
              <w:tabs>
                <w:tab w:val="left" w:pos="310"/>
              </w:tabs>
              <w:autoSpaceDE w:val="0"/>
              <w:autoSpaceDN w:val="0"/>
              <w:adjustRightInd w:val="0"/>
              <w:spacing w:after="0" w:line="240" w:lineRule="auto"/>
              <w:ind w:left="26" w:right="87"/>
              <w:jc w:val="both"/>
              <w:rPr>
                <w:rFonts w:cstheme="minorHAnsi"/>
                <w:lang w:val="pl-PL"/>
              </w:rPr>
            </w:pPr>
          </w:p>
          <w:p w:rsidR="0074575F" w:rsidRPr="0074575F" w:rsidRDefault="0074575F" w:rsidP="00FC524A">
            <w:pPr>
              <w:pStyle w:val="Akapitzlist"/>
              <w:tabs>
                <w:tab w:val="left" w:pos="310"/>
              </w:tabs>
              <w:autoSpaceDE w:val="0"/>
              <w:autoSpaceDN w:val="0"/>
              <w:adjustRightInd w:val="0"/>
              <w:spacing w:after="0" w:line="240" w:lineRule="auto"/>
              <w:ind w:left="26" w:right="87"/>
              <w:jc w:val="both"/>
              <w:rPr>
                <w:rFonts w:cstheme="minorHAnsi"/>
                <w:b/>
                <w:bCs/>
                <w:lang w:val="pl-PL"/>
              </w:rPr>
            </w:pPr>
          </w:p>
          <w:p w:rsidR="0074575F" w:rsidRPr="0074575F" w:rsidRDefault="0074575F" w:rsidP="00FC524A">
            <w:pPr>
              <w:pStyle w:val="Akapitzlist"/>
              <w:tabs>
                <w:tab w:val="left" w:pos="310"/>
              </w:tabs>
              <w:autoSpaceDE w:val="0"/>
              <w:autoSpaceDN w:val="0"/>
              <w:adjustRightInd w:val="0"/>
              <w:spacing w:after="0" w:line="240" w:lineRule="auto"/>
              <w:ind w:left="26" w:right="87"/>
              <w:jc w:val="both"/>
              <w:rPr>
                <w:rFonts w:cstheme="minorHAnsi"/>
                <w:b/>
                <w:bCs/>
                <w:lang w:val="pl-PL"/>
              </w:rPr>
            </w:pPr>
            <w:r w:rsidRPr="0074575F">
              <w:rPr>
                <w:rFonts w:cstheme="minorHAnsi"/>
                <w:b/>
                <w:bCs/>
                <w:lang w:val="pl-PL"/>
              </w:rPr>
              <w:t>INFORMACJE DODATKOWE</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Po stronie Wykonawcy urządzenia leży dostawa urządzenia, a Zamawiający nie ponosi z tego tytułu żadnych dodatkowych kosztów.</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lastRenderedPageBreak/>
              <w:t>Urządzenie dopuszczone do obrotu i użytkowania na terenie UE.</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 xml:space="preserve">Czas reakcji serwisu gwarancyjnego nie dłuższy </w:t>
            </w:r>
            <w:r w:rsidR="00F71E82">
              <w:rPr>
                <w:rFonts w:cstheme="minorHAnsi"/>
                <w:lang w:val="pl-PL"/>
              </w:rPr>
              <w:t xml:space="preserve">niż </w:t>
            </w:r>
            <w:r w:rsidR="00F71E82" w:rsidRPr="00F71E82">
              <w:rPr>
                <w:rFonts w:cstheme="minorHAnsi"/>
                <w:color w:val="FF0000"/>
                <w:lang w:val="pl-PL"/>
              </w:rPr>
              <w:t>72 godziny</w:t>
            </w:r>
            <w:r w:rsidR="00F71E82">
              <w:rPr>
                <w:rFonts w:cstheme="minorHAnsi"/>
                <w:color w:val="FF0000"/>
                <w:lang w:val="pl-PL"/>
              </w:rPr>
              <w:t>.</w:t>
            </w:r>
          </w:p>
          <w:p w:rsidR="0074575F" w:rsidRPr="004075D1"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color w:val="FF0000"/>
                <w:lang w:val="pl-PL"/>
              </w:rPr>
            </w:pPr>
            <w:r w:rsidRPr="004075D1">
              <w:rPr>
                <w:rFonts w:cstheme="minorHAnsi"/>
                <w:color w:val="FF0000"/>
                <w:lang w:val="pl-PL"/>
              </w:rPr>
              <w:t xml:space="preserve"> Dostawa urządzenia do siedziby Zamawiającego wskazanej w </w:t>
            </w:r>
            <w:r w:rsidR="004075D1">
              <w:rPr>
                <w:rFonts w:cstheme="minorHAnsi"/>
                <w:color w:val="FF0000"/>
                <w:lang w:val="pl-PL"/>
              </w:rPr>
              <w:t>§ 4 PPU,</w:t>
            </w:r>
            <w:r w:rsidRPr="004075D1">
              <w:rPr>
                <w:rFonts w:cstheme="minorHAnsi"/>
                <w:color w:val="FF0000"/>
                <w:lang w:val="pl-PL"/>
              </w:rPr>
              <w:t xml:space="preserve"> w terminie do </w:t>
            </w:r>
            <w:r w:rsidR="004075D1" w:rsidRPr="004075D1">
              <w:rPr>
                <w:rFonts w:cstheme="minorHAnsi"/>
                <w:b/>
                <w:color w:val="FF0000"/>
                <w:lang w:val="pl-PL"/>
              </w:rPr>
              <w:t xml:space="preserve">6 </w:t>
            </w:r>
            <w:r w:rsidRPr="00F71E82">
              <w:rPr>
                <w:rFonts w:cstheme="minorHAnsi"/>
                <w:b/>
                <w:color w:val="FF0000"/>
                <w:lang w:val="pl-PL"/>
              </w:rPr>
              <w:t xml:space="preserve">tygodni </w:t>
            </w:r>
            <w:r w:rsidRPr="004075D1">
              <w:rPr>
                <w:rFonts w:cstheme="minorHAnsi"/>
                <w:color w:val="FF0000"/>
                <w:lang w:val="pl-PL"/>
              </w:rPr>
              <w:t>od dnia podpisania umowy.</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Urządzenie musi być fabrycznie nowe, oryginalnie zapakowane, nie starsze niż wyprodukowane w 2024 roku.</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Razem z urządzeniem Wykonawca dostarczy kompletną dokumentację techniczną oraz instrukcję użytkownika w języku polskim lub w języku angielskim w wersji papierowej lub na nośniku elektronicznym.</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Oferowane urządzenie musi być kompletne i po uruchomieniu gotowe do pracy zgodnie z przeznaczeniem bez żadnych dodatkowych zakupów ze strony Zamawiającego.</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Certyfikat zgodności CE.</w:t>
            </w:r>
          </w:p>
          <w:p w:rsidR="0074575F" w:rsidRPr="0074575F" w:rsidRDefault="0074575F" w:rsidP="00FC524A">
            <w:pPr>
              <w:pStyle w:val="Akapitzlist"/>
              <w:tabs>
                <w:tab w:val="left" w:pos="310"/>
              </w:tabs>
              <w:autoSpaceDE w:val="0"/>
              <w:autoSpaceDN w:val="0"/>
              <w:adjustRightInd w:val="0"/>
              <w:spacing w:after="0" w:line="240" w:lineRule="auto"/>
              <w:ind w:left="26" w:right="87"/>
              <w:jc w:val="both"/>
              <w:rPr>
                <w:rFonts w:cstheme="minorHAnsi"/>
                <w:b/>
                <w:bCs/>
                <w:lang w:val="pl-PL"/>
              </w:rPr>
            </w:pPr>
            <w:r w:rsidRPr="0074575F">
              <w:rPr>
                <w:rFonts w:cstheme="minorHAnsi"/>
                <w:b/>
                <w:bCs/>
                <w:lang w:val="pl-PL"/>
              </w:rPr>
              <w:t>WYMAGANIA DOTYCZĄCE GWARANCJI</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Co najmniej 24 miesięczny termin gwarancji od daty podpisania przez obie strony protokołu odbioru ilościowo-jakościowego sprzętu.</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Serwis gwarancyjny i naprawy w miejscu użytkowania sprzętu, a w przypadku konieczności wykonania naprawy poza miejscem użytkowania sprzętu, Wykonawca zapewni na własny koszt odbiór sprzętu do naprawy i jego dostawę po dokonaniu naprawy.</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 xml:space="preserve"> Czas przystąpienia do naprawy (podjęcie działań naprawczych, reakcji serwisu) przy zgłoszeniu usterki telefonicznie, faksem lub drogą elektroniczną nastąpi maksymalnie 72 godziny od chwili zgłoszenia w dni robocze.</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Wykonawca usunie usterki niezwłocznie, lecz nie później niż w ciągu 21 dni kalendarzowych od powiadomienia o wystąpieniu usterki.</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Czas przestoju, przekraczający maksymalny czas naprawy, powoduje przedłużenie gwarancji.</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Wymóg zamieszczenia w kartach gwarancyjnych informacji zawierającej co najmniej nazwę, adres i telefon firmy realizującej serwis gwarancyjny na terenie Polski.</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Dostępność autoryzowanego serwisu pogwarancyjnego producenta urządzenia na terenie Polski.</w:t>
            </w:r>
          </w:p>
          <w:p w:rsidR="0074575F" w:rsidRPr="0074575F" w:rsidRDefault="0074575F" w:rsidP="00FC524A">
            <w:pPr>
              <w:tabs>
                <w:tab w:val="left" w:pos="310"/>
              </w:tabs>
              <w:autoSpaceDE w:val="0"/>
              <w:autoSpaceDN w:val="0"/>
              <w:adjustRightInd w:val="0"/>
              <w:ind w:left="26" w:right="87"/>
              <w:jc w:val="both"/>
              <w:rPr>
                <w:rFonts w:asciiTheme="minorHAnsi" w:hAnsiTheme="minorHAnsi" w:cstheme="minorHAnsi"/>
                <w:b/>
                <w:bCs/>
                <w:sz w:val="22"/>
                <w:szCs w:val="22"/>
              </w:rPr>
            </w:pPr>
            <w:r w:rsidRPr="0074575F">
              <w:rPr>
                <w:rFonts w:asciiTheme="minorHAnsi" w:hAnsiTheme="minorHAnsi" w:cstheme="minorHAnsi"/>
                <w:b/>
                <w:bCs/>
                <w:sz w:val="22"/>
                <w:szCs w:val="22"/>
              </w:rPr>
              <w:t xml:space="preserve"> </w:t>
            </w:r>
          </w:p>
          <w:p w:rsidR="0074575F" w:rsidRPr="0074575F" w:rsidRDefault="0074575F" w:rsidP="00FC524A">
            <w:pPr>
              <w:tabs>
                <w:tab w:val="left" w:pos="310"/>
              </w:tabs>
              <w:autoSpaceDE w:val="0"/>
              <w:autoSpaceDN w:val="0"/>
              <w:adjustRightInd w:val="0"/>
              <w:ind w:left="26" w:right="87"/>
              <w:jc w:val="both"/>
              <w:rPr>
                <w:rFonts w:asciiTheme="minorHAnsi" w:hAnsiTheme="minorHAnsi" w:cstheme="minorHAnsi"/>
                <w:b/>
                <w:bCs/>
                <w:sz w:val="22"/>
                <w:szCs w:val="22"/>
              </w:rPr>
            </w:pPr>
            <w:r w:rsidRPr="0074575F">
              <w:rPr>
                <w:rFonts w:asciiTheme="minorHAnsi" w:hAnsiTheme="minorHAnsi" w:cstheme="minorHAnsi"/>
                <w:b/>
                <w:bCs/>
                <w:sz w:val="22"/>
                <w:szCs w:val="22"/>
              </w:rPr>
              <w:t>WYMAGANE DOKUMENTY</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t xml:space="preserve"> Karta gwarancyjna w języku polskim.</w:t>
            </w:r>
          </w:p>
          <w:p w:rsidR="0074575F" w:rsidRPr="0074575F" w:rsidRDefault="0074575F" w:rsidP="00FC524A">
            <w:pPr>
              <w:pStyle w:val="Akapitzlist"/>
              <w:numPr>
                <w:ilvl w:val="0"/>
                <w:numId w:val="2"/>
              </w:numPr>
              <w:tabs>
                <w:tab w:val="left" w:pos="310"/>
              </w:tabs>
              <w:autoSpaceDE w:val="0"/>
              <w:autoSpaceDN w:val="0"/>
              <w:adjustRightInd w:val="0"/>
              <w:spacing w:after="0" w:line="240" w:lineRule="auto"/>
              <w:ind w:left="26" w:right="87" w:firstLine="0"/>
              <w:jc w:val="both"/>
              <w:rPr>
                <w:rFonts w:cstheme="minorHAnsi"/>
                <w:lang w:val="pl-PL"/>
              </w:rPr>
            </w:pPr>
            <w:r w:rsidRPr="0074575F">
              <w:rPr>
                <w:rFonts w:cstheme="minorHAnsi"/>
                <w:lang w:val="pl-PL"/>
              </w:rPr>
              <w:lastRenderedPageBreak/>
              <w:t>Instrukcje obsługi w języku polskim lub angielskim, w wersji papierowej lub na nośniku elektronicznym.</w:t>
            </w:r>
          </w:p>
          <w:p w:rsidR="0074575F" w:rsidRPr="0074575F" w:rsidRDefault="0074575F" w:rsidP="00A04AC0">
            <w:pPr>
              <w:pStyle w:val="Akapitzlist"/>
              <w:autoSpaceDE w:val="0"/>
              <w:autoSpaceDN w:val="0"/>
              <w:adjustRightInd w:val="0"/>
              <w:ind w:left="360" w:hanging="634"/>
              <w:jc w:val="both"/>
              <w:rPr>
                <w:rFonts w:cstheme="minorHAnsi"/>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4575F" w:rsidRPr="0074575F" w:rsidRDefault="0074575F" w:rsidP="007D607C">
            <w:pPr>
              <w:jc w:val="center"/>
              <w:rPr>
                <w:rFonts w:asciiTheme="minorHAnsi" w:hAnsiTheme="minorHAnsi" w:cstheme="minorHAnsi"/>
                <w:sz w:val="22"/>
                <w:szCs w:val="22"/>
              </w:rPr>
            </w:pPr>
            <w:r>
              <w:rPr>
                <w:rFonts w:asciiTheme="minorHAnsi" w:hAnsiTheme="minorHAnsi" w:cstheme="minorHAnsi"/>
                <w:sz w:val="22"/>
                <w:szCs w:val="22"/>
              </w:rPr>
              <w:lastRenderedPageBreak/>
              <w:t>s</w:t>
            </w:r>
            <w:r w:rsidRPr="0074575F">
              <w:rPr>
                <w:rFonts w:asciiTheme="minorHAnsi" w:hAnsiTheme="minorHAnsi" w:cstheme="minorHAnsi"/>
                <w:sz w:val="22"/>
                <w:szCs w:val="22"/>
              </w:rPr>
              <w:t>zt.</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74575F" w:rsidRPr="0074575F" w:rsidRDefault="0074575F" w:rsidP="0074575F">
            <w:pPr>
              <w:jc w:val="center"/>
              <w:rPr>
                <w:rFonts w:asciiTheme="minorHAnsi" w:hAnsiTheme="minorHAnsi" w:cstheme="minorHAnsi"/>
                <w:sz w:val="22"/>
                <w:szCs w:val="22"/>
              </w:rPr>
            </w:pPr>
            <w:r w:rsidRPr="0074575F">
              <w:rPr>
                <w:rFonts w:asciiTheme="minorHAnsi" w:hAnsiTheme="minorHAnsi" w:cstheme="minorHAnsi"/>
                <w:sz w:val="22"/>
                <w:szCs w:val="22"/>
              </w:rPr>
              <w:t>1</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74575F" w:rsidRPr="0074575F" w:rsidRDefault="0074575F" w:rsidP="007D607C">
            <w:pPr>
              <w:snapToGrid w:val="0"/>
              <w:jc w:val="center"/>
              <w:rPr>
                <w:rFonts w:asciiTheme="minorHAnsi" w:hAnsiTheme="minorHAnsi" w:cstheme="minorHAnsi"/>
                <w:sz w:val="22"/>
                <w:szCs w:val="22"/>
              </w:rPr>
            </w:pPr>
          </w:p>
          <w:p w:rsidR="0074575F" w:rsidRPr="0074575F" w:rsidRDefault="0074575F" w:rsidP="007D607C">
            <w:pPr>
              <w:snapToGrid w:val="0"/>
              <w:jc w:val="center"/>
              <w:rPr>
                <w:rFonts w:asciiTheme="minorHAnsi" w:hAnsiTheme="minorHAnsi" w:cstheme="minorHAnsi"/>
                <w:sz w:val="22"/>
                <w:szCs w:val="22"/>
              </w:rPr>
            </w:pPr>
          </w:p>
          <w:p w:rsidR="0074575F" w:rsidRPr="0074575F" w:rsidRDefault="0074575F" w:rsidP="007D607C">
            <w:pPr>
              <w:snapToGrid w:val="0"/>
              <w:jc w:val="center"/>
              <w:rPr>
                <w:rFonts w:asciiTheme="minorHAnsi" w:hAnsiTheme="minorHAnsi" w:cstheme="minorHAnsi"/>
                <w:sz w:val="22"/>
                <w:szCs w:val="22"/>
              </w:rPr>
            </w:pPr>
          </w:p>
          <w:p w:rsidR="0074575F" w:rsidRPr="0074575F" w:rsidRDefault="0074575F" w:rsidP="007D607C">
            <w:pPr>
              <w:snapToGrid w:val="0"/>
              <w:jc w:val="center"/>
              <w:rPr>
                <w:rFonts w:asciiTheme="minorHAnsi" w:hAnsiTheme="minorHAnsi" w:cstheme="minorHAnsi"/>
                <w:sz w:val="22"/>
                <w:szCs w:val="22"/>
              </w:rPr>
            </w:pPr>
          </w:p>
          <w:p w:rsidR="0074575F" w:rsidRPr="0074575F" w:rsidRDefault="0074575F" w:rsidP="007D607C">
            <w:pPr>
              <w:snapToGrid w:val="0"/>
              <w:jc w:val="center"/>
              <w:rPr>
                <w:rFonts w:asciiTheme="minorHAnsi" w:hAnsiTheme="minorHAnsi" w:cstheme="minorHAnsi"/>
                <w:sz w:val="22"/>
                <w:szCs w:val="22"/>
              </w:rPr>
            </w:pPr>
          </w:p>
          <w:p w:rsidR="0074575F" w:rsidRPr="0074575F" w:rsidRDefault="0074575F" w:rsidP="007D607C">
            <w:pPr>
              <w:snapToGrid w:val="0"/>
              <w:jc w:val="center"/>
              <w:rPr>
                <w:rFonts w:asciiTheme="minorHAnsi" w:hAnsiTheme="minorHAnsi" w:cstheme="minorHAnsi"/>
                <w:sz w:val="22"/>
                <w:szCs w:val="22"/>
              </w:rPr>
            </w:pPr>
          </w:p>
          <w:p w:rsidR="0074575F" w:rsidRPr="0074575F" w:rsidRDefault="0074575F" w:rsidP="007D607C">
            <w:pPr>
              <w:snapToGrid w:val="0"/>
              <w:jc w:val="center"/>
              <w:rPr>
                <w:rFonts w:asciiTheme="minorHAnsi" w:hAnsiTheme="minorHAnsi" w:cstheme="minorHAnsi"/>
                <w:sz w:val="22"/>
                <w:szCs w:val="22"/>
              </w:rPr>
            </w:pPr>
          </w:p>
          <w:p w:rsidR="0074575F" w:rsidRPr="0074575F" w:rsidRDefault="0074575F" w:rsidP="007D607C">
            <w:pPr>
              <w:snapToGrid w:val="0"/>
              <w:jc w:val="center"/>
              <w:rPr>
                <w:rFonts w:asciiTheme="minorHAnsi" w:hAnsiTheme="minorHAnsi" w:cstheme="minorHAnsi"/>
                <w:sz w:val="22"/>
                <w:szCs w:val="22"/>
              </w:rPr>
            </w:pPr>
          </w:p>
          <w:p w:rsidR="0074575F" w:rsidRPr="0074575F" w:rsidRDefault="0074575F" w:rsidP="007D607C">
            <w:pPr>
              <w:snapToGrid w:val="0"/>
              <w:jc w:val="center"/>
              <w:rPr>
                <w:rFonts w:asciiTheme="minorHAnsi" w:hAnsiTheme="minorHAnsi" w:cstheme="minorHAnsi"/>
                <w:sz w:val="22"/>
                <w:szCs w:val="22"/>
              </w:rPr>
            </w:pPr>
          </w:p>
          <w:p w:rsidR="0074575F" w:rsidRPr="0074575F" w:rsidRDefault="0074575F" w:rsidP="007D607C">
            <w:pPr>
              <w:snapToGrid w:val="0"/>
              <w:jc w:val="center"/>
              <w:rPr>
                <w:rFonts w:asciiTheme="minorHAnsi" w:hAnsiTheme="minorHAnsi" w:cstheme="minorHAnsi"/>
                <w:sz w:val="22"/>
                <w:szCs w:val="22"/>
              </w:rPr>
            </w:pPr>
          </w:p>
          <w:p w:rsidR="0074575F" w:rsidRPr="0074575F" w:rsidRDefault="0074575F" w:rsidP="00FC524A">
            <w:pPr>
              <w:snapToGrid w:val="0"/>
              <w:rPr>
                <w:rFonts w:asciiTheme="minorHAnsi" w:hAnsiTheme="minorHAnsi" w:cstheme="minorHAnsi"/>
                <w:sz w:val="22"/>
                <w:szCs w:val="22"/>
              </w:rPr>
            </w:pPr>
          </w:p>
          <w:p w:rsidR="0074575F" w:rsidRPr="0074575F" w:rsidRDefault="0074575F" w:rsidP="007D607C">
            <w:pPr>
              <w:snapToGrid w:val="0"/>
              <w:jc w:val="center"/>
              <w:rPr>
                <w:rFonts w:asciiTheme="minorHAnsi" w:hAnsiTheme="minorHAnsi" w:cstheme="minorHAnsi"/>
                <w:sz w:val="22"/>
                <w:szCs w:val="22"/>
              </w:rPr>
            </w:pPr>
          </w:p>
          <w:p w:rsidR="0074575F" w:rsidRPr="0074575F" w:rsidRDefault="0074575F" w:rsidP="007D607C">
            <w:pPr>
              <w:snapToGrid w:val="0"/>
              <w:jc w:val="center"/>
              <w:rPr>
                <w:rFonts w:asciiTheme="minorHAnsi" w:hAnsiTheme="minorHAnsi" w:cstheme="minorHAnsi"/>
                <w:sz w:val="22"/>
                <w:szCs w:val="22"/>
              </w:rPr>
            </w:pPr>
            <w:r w:rsidRPr="0074575F">
              <w:rPr>
                <w:rFonts w:asciiTheme="minorHAnsi" w:hAnsiTheme="minorHAnsi" w:cstheme="minorHAnsi"/>
                <w:sz w:val="22"/>
                <w:szCs w:val="22"/>
              </w:rPr>
              <w:t>………………………..</w:t>
            </w:r>
          </w:p>
        </w:tc>
      </w:tr>
    </w:tbl>
    <w:p w:rsidR="00763CA8" w:rsidRPr="0074575F" w:rsidRDefault="00763CA8">
      <w:pPr>
        <w:rPr>
          <w:rFonts w:asciiTheme="minorHAnsi" w:hAnsiTheme="minorHAnsi" w:cstheme="minorHAnsi"/>
          <w:sz w:val="22"/>
          <w:szCs w:val="22"/>
        </w:rPr>
      </w:pPr>
    </w:p>
    <w:p w:rsidR="0074575F" w:rsidRPr="0074575F" w:rsidRDefault="0074575F">
      <w:pPr>
        <w:rPr>
          <w:rFonts w:asciiTheme="minorHAnsi" w:hAnsiTheme="minorHAnsi" w:cstheme="minorHAnsi"/>
          <w:sz w:val="22"/>
          <w:szCs w:val="22"/>
        </w:rPr>
      </w:pPr>
    </w:p>
    <w:sectPr w:rsidR="0074575F" w:rsidRPr="0074575F" w:rsidSect="00C07B7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A2D3E"/>
    <w:multiLevelType w:val="hybridMultilevel"/>
    <w:tmpl w:val="8C06677A"/>
    <w:lvl w:ilvl="0" w:tplc="3DB2455A">
      <w:start w:val="1"/>
      <w:numFmt w:val="decimal"/>
      <w:lvlText w:val="%1."/>
      <w:lvlJc w:val="left"/>
      <w:pPr>
        <w:ind w:left="4045" w:hanging="360"/>
      </w:pPr>
      <w:rPr>
        <w:rFonts w:hint="default"/>
        <w:b/>
      </w:rPr>
    </w:lvl>
    <w:lvl w:ilvl="1" w:tplc="04090019" w:tentative="1">
      <w:start w:val="1"/>
      <w:numFmt w:val="lowerLetter"/>
      <w:lvlText w:val="%2."/>
      <w:lvlJc w:val="left"/>
      <w:pPr>
        <w:ind w:left="4765" w:hanging="360"/>
      </w:pPr>
    </w:lvl>
    <w:lvl w:ilvl="2" w:tplc="0409001B" w:tentative="1">
      <w:start w:val="1"/>
      <w:numFmt w:val="lowerRoman"/>
      <w:lvlText w:val="%3."/>
      <w:lvlJc w:val="right"/>
      <w:pPr>
        <w:ind w:left="5485" w:hanging="180"/>
      </w:pPr>
    </w:lvl>
    <w:lvl w:ilvl="3" w:tplc="0409000F" w:tentative="1">
      <w:start w:val="1"/>
      <w:numFmt w:val="decimal"/>
      <w:lvlText w:val="%4."/>
      <w:lvlJc w:val="left"/>
      <w:pPr>
        <w:ind w:left="6205" w:hanging="360"/>
      </w:pPr>
    </w:lvl>
    <w:lvl w:ilvl="4" w:tplc="04090019" w:tentative="1">
      <w:start w:val="1"/>
      <w:numFmt w:val="lowerLetter"/>
      <w:lvlText w:val="%5."/>
      <w:lvlJc w:val="left"/>
      <w:pPr>
        <w:ind w:left="6925" w:hanging="360"/>
      </w:pPr>
    </w:lvl>
    <w:lvl w:ilvl="5" w:tplc="0409001B" w:tentative="1">
      <w:start w:val="1"/>
      <w:numFmt w:val="lowerRoman"/>
      <w:lvlText w:val="%6."/>
      <w:lvlJc w:val="right"/>
      <w:pPr>
        <w:ind w:left="7645" w:hanging="180"/>
      </w:pPr>
    </w:lvl>
    <w:lvl w:ilvl="6" w:tplc="0409000F" w:tentative="1">
      <w:start w:val="1"/>
      <w:numFmt w:val="decimal"/>
      <w:lvlText w:val="%7."/>
      <w:lvlJc w:val="left"/>
      <w:pPr>
        <w:ind w:left="8365" w:hanging="360"/>
      </w:pPr>
    </w:lvl>
    <w:lvl w:ilvl="7" w:tplc="04090019" w:tentative="1">
      <w:start w:val="1"/>
      <w:numFmt w:val="lowerLetter"/>
      <w:lvlText w:val="%8."/>
      <w:lvlJc w:val="left"/>
      <w:pPr>
        <w:ind w:left="9085" w:hanging="360"/>
      </w:pPr>
    </w:lvl>
    <w:lvl w:ilvl="8" w:tplc="0409001B" w:tentative="1">
      <w:start w:val="1"/>
      <w:numFmt w:val="lowerRoman"/>
      <w:lvlText w:val="%9."/>
      <w:lvlJc w:val="right"/>
      <w:pPr>
        <w:ind w:left="9805" w:hanging="180"/>
      </w:pPr>
    </w:lvl>
  </w:abstractNum>
  <w:abstractNum w:abstractNumId="1">
    <w:nsid w:val="5E076BB5"/>
    <w:multiLevelType w:val="hybridMultilevel"/>
    <w:tmpl w:val="0AF4AFC8"/>
    <w:lvl w:ilvl="0" w:tplc="0409000F">
      <w:start w:val="1"/>
      <w:numFmt w:val="decimal"/>
      <w:lvlText w:val="%1."/>
      <w:lvlJc w:val="left"/>
      <w:pPr>
        <w:ind w:left="720" w:hanging="360"/>
      </w:pPr>
    </w:lvl>
    <w:lvl w:ilvl="1" w:tplc="C6B252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3F"/>
    <w:rsid w:val="00155217"/>
    <w:rsid w:val="002D2D11"/>
    <w:rsid w:val="00385558"/>
    <w:rsid w:val="003F1F75"/>
    <w:rsid w:val="004026B0"/>
    <w:rsid w:val="004075D1"/>
    <w:rsid w:val="0074575F"/>
    <w:rsid w:val="00763CA8"/>
    <w:rsid w:val="008B0D5C"/>
    <w:rsid w:val="0090665F"/>
    <w:rsid w:val="00A04AC0"/>
    <w:rsid w:val="00A7096B"/>
    <w:rsid w:val="00C07B72"/>
    <w:rsid w:val="00C41A3F"/>
    <w:rsid w:val="00E55F87"/>
    <w:rsid w:val="00F71E82"/>
    <w:rsid w:val="00FC524A"/>
    <w:rsid w:val="00FF66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97DE3-E593-41CC-B0C6-574B41FC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7B72"/>
    <w:pPr>
      <w:suppressAutoHyphens/>
      <w:spacing w:after="0" w:line="240" w:lineRule="auto"/>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07B72"/>
    <w:pPr>
      <w:spacing w:after="140" w:line="276" w:lineRule="auto"/>
    </w:pPr>
  </w:style>
  <w:style w:type="character" w:customStyle="1" w:styleId="TekstpodstawowyZnak">
    <w:name w:val="Tekst podstawowy Znak"/>
    <w:basedOn w:val="Domylnaczcionkaakapitu"/>
    <w:link w:val="Tekstpodstawowy"/>
    <w:rsid w:val="00C07B72"/>
    <w:rPr>
      <w:rFonts w:ascii="Liberation Serif" w:eastAsia="SimSun" w:hAnsi="Liberation Serif" w:cs="Arial"/>
      <w:kern w:val="2"/>
      <w:sz w:val="24"/>
      <w:szCs w:val="24"/>
      <w:lang w:eastAsia="zh-CN" w:bidi="hi-IN"/>
    </w:rPr>
  </w:style>
  <w:style w:type="paragraph" w:customStyle="1" w:styleId="Zawartotabeli">
    <w:name w:val="Zawartość tabeli"/>
    <w:basedOn w:val="Normalny"/>
    <w:rsid w:val="00C07B72"/>
    <w:pPr>
      <w:suppressLineNumbers/>
    </w:pPr>
  </w:style>
  <w:style w:type="paragraph" w:styleId="Stopka">
    <w:name w:val="footer"/>
    <w:basedOn w:val="Normalny"/>
    <w:link w:val="StopkaZnak"/>
    <w:uiPriority w:val="99"/>
    <w:rsid w:val="00C07B72"/>
    <w:pPr>
      <w:tabs>
        <w:tab w:val="center" w:pos="4536"/>
        <w:tab w:val="right" w:pos="9072"/>
      </w:tabs>
    </w:pPr>
  </w:style>
  <w:style w:type="character" w:customStyle="1" w:styleId="StopkaZnak">
    <w:name w:val="Stopka Znak"/>
    <w:basedOn w:val="Domylnaczcionkaakapitu"/>
    <w:link w:val="Stopka"/>
    <w:uiPriority w:val="99"/>
    <w:rsid w:val="00C07B72"/>
    <w:rPr>
      <w:rFonts w:ascii="Liberation Serif" w:eastAsia="SimSun" w:hAnsi="Liberation Serif" w:cs="Arial"/>
      <w:kern w:val="2"/>
      <w:sz w:val="24"/>
      <w:szCs w:val="24"/>
      <w:lang w:eastAsia="zh-CN" w:bidi="hi-IN"/>
    </w:rPr>
  </w:style>
  <w:style w:type="paragraph" w:styleId="Akapitzlist">
    <w:name w:val="List Paragraph"/>
    <w:basedOn w:val="Normalny"/>
    <w:uiPriority w:val="34"/>
    <w:qFormat/>
    <w:rsid w:val="00A7096B"/>
    <w:pPr>
      <w:suppressAutoHyphens w:val="0"/>
      <w:spacing w:after="160" w:line="259" w:lineRule="auto"/>
      <w:ind w:left="720"/>
      <w:contextualSpacing/>
    </w:pPr>
    <w:rPr>
      <w:rFonts w:asciiTheme="minorHAnsi" w:eastAsiaTheme="minorHAnsi" w:hAnsiTheme="minorHAnsi" w:cstheme="minorBidi"/>
      <w:kern w:val="0"/>
      <w:sz w:val="22"/>
      <w:szCs w:val="22"/>
      <w:lang w:val="en-US" w:eastAsia="en-US" w:bidi="ar-SA"/>
    </w:rPr>
  </w:style>
  <w:style w:type="paragraph" w:styleId="Tekstdymka">
    <w:name w:val="Balloon Text"/>
    <w:basedOn w:val="Normalny"/>
    <w:link w:val="TekstdymkaZnak"/>
    <w:uiPriority w:val="99"/>
    <w:semiHidden/>
    <w:unhideWhenUsed/>
    <w:rsid w:val="004026B0"/>
    <w:rPr>
      <w:rFonts w:ascii="Segoe UI" w:hAnsi="Segoe UI" w:cs="Mangal"/>
      <w:sz w:val="18"/>
      <w:szCs w:val="16"/>
    </w:rPr>
  </w:style>
  <w:style w:type="character" w:customStyle="1" w:styleId="TekstdymkaZnak">
    <w:name w:val="Tekst dymka Znak"/>
    <w:basedOn w:val="Domylnaczcionkaakapitu"/>
    <w:link w:val="Tekstdymka"/>
    <w:uiPriority w:val="99"/>
    <w:semiHidden/>
    <w:rsid w:val="004026B0"/>
    <w:rPr>
      <w:rFonts w:ascii="Segoe UI" w:eastAsia="SimSun"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817</Words>
  <Characters>4907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A84826</dc:creator>
  <cp:lastModifiedBy>Monika Andruszkiewicz</cp:lastModifiedBy>
  <cp:revision>6</cp:revision>
  <cp:lastPrinted>2024-09-25T09:28:00Z</cp:lastPrinted>
  <dcterms:created xsi:type="dcterms:W3CDTF">2024-09-03T12:08:00Z</dcterms:created>
  <dcterms:modified xsi:type="dcterms:W3CDTF">2024-09-25T09:28:00Z</dcterms:modified>
</cp:coreProperties>
</file>