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40C9760D"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4943A260" w14:textId="77777777" w:rsidR="00B218C0" w:rsidRPr="00B218C0" w:rsidRDefault="00B218C0" w:rsidP="00B218C0">
      <w:pPr>
        <w:tabs>
          <w:tab w:val="left" w:pos="284"/>
        </w:tabs>
        <w:spacing w:line="240" w:lineRule="auto"/>
        <w:jc w:val="center"/>
        <w:rPr>
          <w:rFonts w:asciiTheme="minorHAnsi" w:eastAsiaTheme="minorHAnsi" w:hAnsiTheme="minorHAnsi" w:cstheme="minorHAnsi"/>
          <w:bCs/>
          <w:kern w:val="3"/>
          <w:lang w:val="pl-PL" w:eastAsia="en-US"/>
        </w:rPr>
      </w:pPr>
      <w:r w:rsidRPr="00B218C0">
        <w:rPr>
          <w:rFonts w:asciiTheme="minorHAnsi" w:eastAsia="Times New Roman" w:hAnsiTheme="minorHAnsi" w:cstheme="minorHAnsi"/>
          <w:b/>
          <w:lang w:val="pl-PL" w:eastAsia="en-US"/>
        </w:rPr>
        <w:t>„</w:t>
      </w:r>
      <w:r w:rsidRPr="00B218C0">
        <w:rPr>
          <w:rFonts w:asciiTheme="minorHAnsi" w:eastAsiaTheme="minorHAnsi" w:hAnsiTheme="minorHAnsi" w:cstheme="minorHAnsi"/>
          <w:b/>
          <w:bCs/>
          <w:kern w:val="3"/>
          <w:lang w:val="pl-PL" w:eastAsia="en-US"/>
        </w:rPr>
        <w:t>Wykonanie remontu dachu i elewacji budynku Urzędu Gminy Dopiewo przy ul. Leśnej 1c w Dopiewie.”</w:t>
      </w: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3"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3"/>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4CD2C195"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B218C0">
        <w:rPr>
          <w:rFonts w:asciiTheme="minorHAnsi" w:hAnsiTheme="minorHAnsi" w:cstheme="minorHAnsi"/>
          <w:b/>
          <w:bCs/>
        </w:rPr>
        <w:t>11</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3FA691C"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t>
      </w:r>
      <w:r w:rsidR="00504A46">
        <w:rPr>
          <w:rFonts w:asciiTheme="minorHAnsi" w:eastAsia="Times New Roman" w:hAnsiTheme="minorHAnsi" w:cstheme="minorHAnsi"/>
        </w:rPr>
        <w:t xml:space="preserve">Z- ca </w:t>
      </w:r>
      <w:r w:rsidRPr="008870AA">
        <w:rPr>
          <w:rFonts w:asciiTheme="minorHAnsi" w:eastAsia="Times New Roman" w:hAnsiTheme="minorHAnsi" w:cstheme="minorHAnsi"/>
        </w:rPr>
        <w:t>Wójt</w:t>
      </w:r>
      <w:r w:rsidR="00504A46">
        <w:rPr>
          <w:rFonts w:asciiTheme="minorHAnsi" w:eastAsia="Times New Roman" w:hAnsiTheme="minorHAnsi" w:cstheme="minorHAnsi"/>
        </w:rPr>
        <w:t>a</w:t>
      </w:r>
      <w:r w:rsidRPr="008870AA">
        <w:rPr>
          <w:rFonts w:asciiTheme="minorHAnsi" w:eastAsia="Times New Roman" w:hAnsiTheme="minorHAnsi" w:cstheme="minorHAnsi"/>
        </w:rPr>
        <w:t xml:space="preserve"> Gminy Dopiewo – Paweł </w:t>
      </w:r>
      <w:r w:rsidR="00504A46">
        <w:rPr>
          <w:rFonts w:asciiTheme="minorHAnsi" w:eastAsia="Times New Roman" w:hAnsiTheme="minorHAnsi" w:cstheme="minorHAnsi"/>
        </w:rPr>
        <w:t>Jazy</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5B4892C0"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527B61" w:rsidRPr="002A54B4">
        <w:rPr>
          <w:rFonts w:asciiTheme="minorHAnsi" w:eastAsia="Times New Roman" w:hAnsiTheme="minorHAnsi" w:cstheme="minorHAnsi"/>
          <w:b/>
          <w:bCs/>
        </w:rPr>
        <w:t>3</w:t>
      </w:r>
      <w:r w:rsidRPr="002A54B4">
        <w:rPr>
          <w:rFonts w:asciiTheme="minorHAnsi" w:eastAsia="Times New Roman" w:hAnsiTheme="minorHAnsi" w:cstheme="minorHAnsi"/>
          <w:b/>
          <w:bCs/>
        </w:rPr>
        <w:t>.</w:t>
      </w:r>
      <w:r w:rsidR="00527B61" w:rsidRPr="002A54B4">
        <w:rPr>
          <w:rFonts w:asciiTheme="minorHAnsi" w:eastAsia="Times New Roman" w:hAnsiTheme="minorHAnsi" w:cstheme="minorHAnsi"/>
          <w:b/>
          <w:bCs/>
        </w:rPr>
        <w:t>0</w:t>
      </w:r>
      <w:r w:rsidR="00651680">
        <w:rPr>
          <w:rFonts w:asciiTheme="minorHAnsi" w:eastAsia="Times New Roman" w:hAnsiTheme="minorHAnsi" w:cstheme="minorHAnsi"/>
          <w:b/>
          <w:bCs/>
        </w:rPr>
        <w:t>6</w:t>
      </w:r>
      <w:r w:rsidR="00311B20" w:rsidRPr="002A54B4">
        <w:rPr>
          <w:rFonts w:asciiTheme="minorHAnsi" w:eastAsia="Times New Roman" w:hAnsiTheme="minorHAnsi" w:cstheme="minorHAnsi"/>
          <w:b/>
          <w:bCs/>
        </w:rPr>
        <w:t>.</w:t>
      </w:r>
      <w:r w:rsidR="00651680">
        <w:rPr>
          <w:rFonts w:asciiTheme="minorHAnsi" w:eastAsia="Times New Roman" w:hAnsiTheme="minorHAnsi" w:cstheme="minorHAnsi"/>
          <w:b/>
          <w:bCs/>
        </w:rPr>
        <w:t>30</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4"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3770D9F1" w:rsidR="00850910" w:rsidRDefault="00D22051" w:rsidP="00D22051">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CD6136" w:rsidRDefault="00513E17" w:rsidP="00513E17">
          <w:pPr>
            <w:pStyle w:val="Spistreci2"/>
            <w:rPr>
              <w:rFonts w:asciiTheme="minorHAnsi" w:hAnsiTheme="minorHAnsi" w:cstheme="minorHAnsi"/>
            </w:rPr>
          </w:pPr>
          <w:r w:rsidRPr="00CD6136">
            <w:rPr>
              <w:rFonts w:asciiTheme="minorHAnsi" w:hAnsiTheme="minorHAnsi" w:cstheme="minorHAnsi"/>
            </w:rPr>
            <w:t xml:space="preserve">I. Nazwa oraz adres Zamawiającego                                                                                                     </w:t>
          </w:r>
        </w:p>
        <w:p w14:paraId="1BD36302" w14:textId="53422A03" w:rsidR="00F46E9A" w:rsidRDefault="008870AA">
          <w:pPr>
            <w:pStyle w:val="Spistreci2"/>
            <w:rPr>
              <w:rFonts w:asciiTheme="minorHAnsi" w:eastAsiaTheme="minorEastAsia" w:hAnsiTheme="minorHAnsi" w:cstheme="minorBidi"/>
              <w:b w:val="0"/>
              <w:bCs w:val="0"/>
              <w:noProof/>
              <w:kern w:val="2"/>
              <w:lang w:val="pl-PL"/>
              <w14:ligatures w14:val="standardContextual"/>
            </w:rPr>
          </w:pPr>
          <w:r w:rsidRPr="00CD6136">
            <w:rPr>
              <w:rFonts w:asciiTheme="minorHAnsi" w:hAnsiTheme="minorHAnsi" w:cstheme="minorHAnsi"/>
            </w:rPr>
            <w:fldChar w:fldCharType="begin"/>
          </w:r>
          <w:r w:rsidRPr="00CD6136">
            <w:rPr>
              <w:rFonts w:asciiTheme="minorHAnsi" w:hAnsiTheme="minorHAnsi" w:cstheme="minorHAnsi"/>
            </w:rPr>
            <w:instrText xml:space="preserve"> TOC \h \u \z </w:instrText>
          </w:r>
          <w:r w:rsidRPr="00CD6136">
            <w:rPr>
              <w:rFonts w:asciiTheme="minorHAnsi" w:hAnsiTheme="minorHAnsi" w:cstheme="minorHAnsi"/>
            </w:rPr>
            <w:fldChar w:fldCharType="separate"/>
          </w:r>
          <w:hyperlink w:anchor="_Toc135663015" w:history="1">
            <w:r w:rsidR="00F46E9A" w:rsidRPr="00145704">
              <w:rPr>
                <w:rStyle w:val="Hipercze"/>
                <w:rFonts w:cstheme="minorHAnsi"/>
                <w:noProof/>
              </w:rPr>
              <w:t>II. Ochrona danych osobowych</w:t>
            </w:r>
            <w:r w:rsidR="00F46E9A">
              <w:rPr>
                <w:noProof/>
                <w:webHidden/>
              </w:rPr>
              <w:tab/>
            </w:r>
            <w:r w:rsidR="00F46E9A">
              <w:rPr>
                <w:noProof/>
                <w:webHidden/>
              </w:rPr>
              <w:fldChar w:fldCharType="begin"/>
            </w:r>
            <w:r w:rsidR="00F46E9A">
              <w:rPr>
                <w:noProof/>
                <w:webHidden/>
              </w:rPr>
              <w:instrText xml:space="preserve"> PAGEREF _Toc135663015 \h </w:instrText>
            </w:r>
            <w:r w:rsidR="00F46E9A">
              <w:rPr>
                <w:noProof/>
                <w:webHidden/>
              </w:rPr>
            </w:r>
            <w:r w:rsidR="00F46E9A">
              <w:rPr>
                <w:noProof/>
                <w:webHidden/>
              </w:rPr>
              <w:fldChar w:fldCharType="separate"/>
            </w:r>
            <w:r w:rsidR="00B75217">
              <w:rPr>
                <w:noProof/>
                <w:webHidden/>
              </w:rPr>
              <w:t>3</w:t>
            </w:r>
            <w:r w:rsidR="00F46E9A">
              <w:rPr>
                <w:noProof/>
                <w:webHidden/>
              </w:rPr>
              <w:fldChar w:fldCharType="end"/>
            </w:r>
          </w:hyperlink>
        </w:p>
        <w:p w14:paraId="1789F9E7" w14:textId="09E3441E"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16" w:history="1">
            <w:r w:rsidR="00F46E9A" w:rsidRPr="00145704">
              <w:rPr>
                <w:rStyle w:val="Hipercze"/>
                <w:rFonts w:cstheme="minorHAnsi"/>
                <w:noProof/>
              </w:rPr>
              <w:t>III. Tryb udzielania zamówienia</w:t>
            </w:r>
            <w:r w:rsidR="00F46E9A">
              <w:rPr>
                <w:noProof/>
                <w:webHidden/>
              </w:rPr>
              <w:tab/>
            </w:r>
            <w:r w:rsidR="00F46E9A">
              <w:rPr>
                <w:noProof/>
                <w:webHidden/>
              </w:rPr>
              <w:fldChar w:fldCharType="begin"/>
            </w:r>
            <w:r w:rsidR="00F46E9A">
              <w:rPr>
                <w:noProof/>
                <w:webHidden/>
              </w:rPr>
              <w:instrText xml:space="preserve"> PAGEREF _Toc135663016 \h </w:instrText>
            </w:r>
            <w:r w:rsidR="00F46E9A">
              <w:rPr>
                <w:noProof/>
                <w:webHidden/>
              </w:rPr>
            </w:r>
            <w:r w:rsidR="00F46E9A">
              <w:rPr>
                <w:noProof/>
                <w:webHidden/>
              </w:rPr>
              <w:fldChar w:fldCharType="separate"/>
            </w:r>
            <w:r w:rsidR="00B75217">
              <w:rPr>
                <w:noProof/>
                <w:webHidden/>
              </w:rPr>
              <w:t>4</w:t>
            </w:r>
            <w:r w:rsidR="00F46E9A">
              <w:rPr>
                <w:noProof/>
                <w:webHidden/>
              </w:rPr>
              <w:fldChar w:fldCharType="end"/>
            </w:r>
          </w:hyperlink>
        </w:p>
        <w:p w14:paraId="2344D2E9" w14:textId="43F53EDF"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17" w:history="1">
            <w:r w:rsidR="00F46E9A" w:rsidRPr="00145704">
              <w:rPr>
                <w:rStyle w:val="Hipercze"/>
                <w:rFonts w:cstheme="minorHAnsi"/>
                <w:noProof/>
              </w:rPr>
              <w:t>IV. Opis przedmiotu zamówienia</w:t>
            </w:r>
            <w:r w:rsidR="00F46E9A">
              <w:rPr>
                <w:noProof/>
                <w:webHidden/>
              </w:rPr>
              <w:tab/>
            </w:r>
            <w:r w:rsidR="00F46E9A">
              <w:rPr>
                <w:noProof/>
                <w:webHidden/>
              </w:rPr>
              <w:fldChar w:fldCharType="begin"/>
            </w:r>
            <w:r w:rsidR="00F46E9A">
              <w:rPr>
                <w:noProof/>
                <w:webHidden/>
              </w:rPr>
              <w:instrText xml:space="preserve"> PAGEREF _Toc135663017 \h </w:instrText>
            </w:r>
            <w:r w:rsidR="00F46E9A">
              <w:rPr>
                <w:noProof/>
                <w:webHidden/>
              </w:rPr>
            </w:r>
            <w:r w:rsidR="00F46E9A">
              <w:rPr>
                <w:noProof/>
                <w:webHidden/>
              </w:rPr>
              <w:fldChar w:fldCharType="separate"/>
            </w:r>
            <w:r w:rsidR="00B75217">
              <w:rPr>
                <w:noProof/>
                <w:webHidden/>
              </w:rPr>
              <w:t>5</w:t>
            </w:r>
            <w:r w:rsidR="00F46E9A">
              <w:rPr>
                <w:noProof/>
                <w:webHidden/>
              </w:rPr>
              <w:fldChar w:fldCharType="end"/>
            </w:r>
          </w:hyperlink>
        </w:p>
        <w:p w14:paraId="225BECC5" w14:textId="029EFEF2"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18" w:history="1">
            <w:r w:rsidR="00F46E9A" w:rsidRPr="00145704">
              <w:rPr>
                <w:rStyle w:val="Hipercze"/>
                <w:rFonts w:cstheme="minorHAnsi"/>
                <w:noProof/>
              </w:rPr>
              <w:t>V. Wizja lokalna</w:t>
            </w:r>
            <w:r w:rsidR="00F46E9A">
              <w:rPr>
                <w:noProof/>
                <w:webHidden/>
              </w:rPr>
              <w:tab/>
            </w:r>
            <w:r w:rsidR="00F46E9A">
              <w:rPr>
                <w:noProof/>
                <w:webHidden/>
              </w:rPr>
              <w:fldChar w:fldCharType="begin"/>
            </w:r>
            <w:r w:rsidR="00F46E9A">
              <w:rPr>
                <w:noProof/>
                <w:webHidden/>
              </w:rPr>
              <w:instrText xml:space="preserve"> PAGEREF _Toc135663018 \h </w:instrText>
            </w:r>
            <w:r w:rsidR="00F46E9A">
              <w:rPr>
                <w:noProof/>
                <w:webHidden/>
              </w:rPr>
            </w:r>
            <w:r w:rsidR="00F46E9A">
              <w:rPr>
                <w:noProof/>
                <w:webHidden/>
              </w:rPr>
              <w:fldChar w:fldCharType="separate"/>
            </w:r>
            <w:r w:rsidR="00B75217">
              <w:rPr>
                <w:noProof/>
                <w:webHidden/>
              </w:rPr>
              <w:t>6</w:t>
            </w:r>
            <w:r w:rsidR="00F46E9A">
              <w:rPr>
                <w:noProof/>
                <w:webHidden/>
              </w:rPr>
              <w:fldChar w:fldCharType="end"/>
            </w:r>
          </w:hyperlink>
        </w:p>
        <w:p w14:paraId="3B96F6EA" w14:textId="30C8CF93"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19" w:history="1">
            <w:r w:rsidR="00F46E9A" w:rsidRPr="00145704">
              <w:rPr>
                <w:rStyle w:val="Hipercze"/>
                <w:rFonts w:cstheme="minorHAnsi"/>
                <w:noProof/>
              </w:rPr>
              <w:t>VI. Podwykonawstwo</w:t>
            </w:r>
            <w:r w:rsidR="00F46E9A">
              <w:rPr>
                <w:noProof/>
                <w:webHidden/>
              </w:rPr>
              <w:tab/>
            </w:r>
            <w:r w:rsidR="00F46E9A">
              <w:rPr>
                <w:noProof/>
                <w:webHidden/>
              </w:rPr>
              <w:fldChar w:fldCharType="begin"/>
            </w:r>
            <w:r w:rsidR="00F46E9A">
              <w:rPr>
                <w:noProof/>
                <w:webHidden/>
              </w:rPr>
              <w:instrText xml:space="preserve"> PAGEREF _Toc135663019 \h </w:instrText>
            </w:r>
            <w:r w:rsidR="00F46E9A">
              <w:rPr>
                <w:noProof/>
                <w:webHidden/>
              </w:rPr>
            </w:r>
            <w:r w:rsidR="00F46E9A">
              <w:rPr>
                <w:noProof/>
                <w:webHidden/>
              </w:rPr>
              <w:fldChar w:fldCharType="separate"/>
            </w:r>
            <w:r w:rsidR="00B75217">
              <w:rPr>
                <w:noProof/>
                <w:webHidden/>
              </w:rPr>
              <w:t>7</w:t>
            </w:r>
            <w:r w:rsidR="00F46E9A">
              <w:rPr>
                <w:noProof/>
                <w:webHidden/>
              </w:rPr>
              <w:fldChar w:fldCharType="end"/>
            </w:r>
          </w:hyperlink>
        </w:p>
        <w:p w14:paraId="298B5570" w14:textId="23A28054"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0" w:history="1">
            <w:r w:rsidR="00F46E9A" w:rsidRPr="00145704">
              <w:rPr>
                <w:rStyle w:val="Hipercze"/>
                <w:rFonts w:cstheme="minorHAnsi"/>
                <w:noProof/>
              </w:rPr>
              <w:t>VIII. Warunki udziału w postępowaniu.</w:t>
            </w:r>
            <w:r w:rsidR="00F46E9A">
              <w:rPr>
                <w:noProof/>
                <w:webHidden/>
              </w:rPr>
              <w:tab/>
            </w:r>
            <w:r w:rsidR="00F46E9A">
              <w:rPr>
                <w:noProof/>
                <w:webHidden/>
              </w:rPr>
              <w:fldChar w:fldCharType="begin"/>
            </w:r>
            <w:r w:rsidR="00F46E9A">
              <w:rPr>
                <w:noProof/>
                <w:webHidden/>
              </w:rPr>
              <w:instrText xml:space="preserve"> PAGEREF _Toc135663020 \h </w:instrText>
            </w:r>
            <w:r w:rsidR="00F46E9A">
              <w:rPr>
                <w:noProof/>
                <w:webHidden/>
              </w:rPr>
            </w:r>
            <w:r w:rsidR="00F46E9A">
              <w:rPr>
                <w:noProof/>
                <w:webHidden/>
              </w:rPr>
              <w:fldChar w:fldCharType="separate"/>
            </w:r>
            <w:r w:rsidR="00B75217">
              <w:rPr>
                <w:noProof/>
                <w:webHidden/>
              </w:rPr>
              <w:t>7</w:t>
            </w:r>
            <w:r w:rsidR="00F46E9A">
              <w:rPr>
                <w:noProof/>
                <w:webHidden/>
              </w:rPr>
              <w:fldChar w:fldCharType="end"/>
            </w:r>
          </w:hyperlink>
        </w:p>
        <w:p w14:paraId="615968C7" w14:textId="27DBC09C"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1" w:history="1">
            <w:r w:rsidR="00F46E9A" w:rsidRPr="00145704">
              <w:rPr>
                <w:rStyle w:val="Hipercze"/>
                <w:rFonts w:cstheme="minorHAnsi"/>
                <w:noProof/>
              </w:rPr>
              <w:t>IX. Podstawy wykluczenia z postępowania</w:t>
            </w:r>
            <w:r w:rsidR="00F46E9A">
              <w:rPr>
                <w:noProof/>
                <w:webHidden/>
              </w:rPr>
              <w:tab/>
            </w:r>
            <w:r w:rsidR="00F46E9A">
              <w:rPr>
                <w:noProof/>
                <w:webHidden/>
              </w:rPr>
              <w:fldChar w:fldCharType="begin"/>
            </w:r>
            <w:r w:rsidR="00F46E9A">
              <w:rPr>
                <w:noProof/>
                <w:webHidden/>
              </w:rPr>
              <w:instrText xml:space="preserve"> PAGEREF _Toc135663021 \h </w:instrText>
            </w:r>
            <w:r w:rsidR="00F46E9A">
              <w:rPr>
                <w:noProof/>
                <w:webHidden/>
              </w:rPr>
            </w:r>
            <w:r w:rsidR="00F46E9A">
              <w:rPr>
                <w:noProof/>
                <w:webHidden/>
              </w:rPr>
              <w:fldChar w:fldCharType="separate"/>
            </w:r>
            <w:r w:rsidR="00B75217">
              <w:rPr>
                <w:noProof/>
                <w:webHidden/>
              </w:rPr>
              <w:t>9</w:t>
            </w:r>
            <w:r w:rsidR="00F46E9A">
              <w:rPr>
                <w:noProof/>
                <w:webHidden/>
              </w:rPr>
              <w:fldChar w:fldCharType="end"/>
            </w:r>
          </w:hyperlink>
        </w:p>
        <w:p w14:paraId="3E1571E2" w14:textId="1E99F780"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2" w:history="1">
            <w:r w:rsidR="00F46E9A" w:rsidRPr="00145704">
              <w:rPr>
                <w:rStyle w:val="Hipercze"/>
                <w:rFonts w:cstheme="minorHAnsi"/>
                <w:noProof/>
              </w:rPr>
              <w:t>X. Podmiotowe środki dowodowe. Oświadczenia i dokumenty, jakie zobowiązani są dostarczyć Wykonawcy w celu potwierdzenia spełniania warunków udziału w postępowaniu oraz wykazania braku podstaw wykluczenia</w:t>
            </w:r>
            <w:r w:rsidR="00F46E9A">
              <w:rPr>
                <w:noProof/>
                <w:webHidden/>
              </w:rPr>
              <w:tab/>
            </w:r>
            <w:r w:rsidR="00F46E9A">
              <w:rPr>
                <w:noProof/>
                <w:webHidden/>
              </w:rPr>
              <w:fldChar w:fldCharType="begin"/>
            </w:r>
            <w:r w:rsidR="00F46E9A">
              <w:rPr>
                <w:noProof/>
                <w:webHidden/>
              </w:rPr>
              <w:instrText xml:space="preserve"> PAGEREF _Toc135663022 \h </w:instrText>
            </w:r>
            <w:r w:rsidR="00F46E9A">
              <w:rPr>
                <w:noProof/>
                <w:webHidden/>
              </w:rPr>
            </w:r>
            <w:r w:rsidR="00F46E9A">
              <w:rPr>
                <w:noProof/>
                <w:webHidden/>
              </w:rPr>
              <w:fldChar w:fldCharType="separate"/>
            </w:r>
            <w:r w:rsidR="00B75217">
              <w:rPr>
                <w:noProof/>
                <w:webHidden/>
              </w:rPr>
              <w:t>10</w:t>
            </w:r>
            <w:r w:rsidR="00F46E9A">
              <w:rPr>
                <w:noProof/>
                <w:webHidden/>
              </w:rPr>
              <w:fldChar w:fldCharType="end"/>
            </w:r>
          </w:hyperlink>
        </w:p>
        <w:p w14:paraId="57BED1E7" w14:textId="2D314B92"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3" w:history="1">
            <w:r w:rsidR="00F46E9A" w:rsidRPr="00145704">
              <w:rPr>
                <w:rStyle w:val="Hipercze"/>
                <w:rFonts w:cstheme="minorHAnsi"/>
                <w:noProof/>
              </w:rPr>
              <w:t>XI. Poleganie na zasobach innych podmiotów</w:t>
            </w:r>
            <w:r w:rsidR="00F46E9A">
              <w:rPr>
                <w:noProof/>
                <w:webHidden/>
              </w:rPr>
              <w:tab/>
            </w:r>
            <w:r w:rsidR="00F46E9A">
              <w:rPr>
                <w:noProof/>
                <w:webHidden/>
              </w:rPr>
              <w:fldChar w:fldCharType="begin"/>
            </w:r>
            <w:r w:rsidR="00F46E9A">
              <w:rPr>
                <w:noProof/>
                <w:webHidden/>
              </w:rPr>
              <w:instrText xml:space="preserve"> PAGEREF _Toc135663023 \h </w:instrText>
            </w:r>
            <w:r w:rsidR="00F46E9A">
              <w:rPr>
                <w:noProof/>
                <w:webHidden/>
              </w:rPr>
            </w:r>
            <w:r w:rsidR="00F46E9A">
              <w:rPr>
                <w:noProof/>
                <w:webHidden/>
              </w:rPr>
              <w:fldChar w:fldCharType="separate"/>
            </w:r>
            <w:r w:rsidR="00B75217">
              <w:rPr>
                <w:noProof/>
                <w:webHidden/>
              </w:rPr>
              <w:t>12</w:t>
            </w:r>
            <w:r w:rsidR="00F46E9A">
              <w:rPr>
                <w:noProof/>
                <w:webHidden/>
              </w:rPr>
              <w:fldChar w:fldCharType="end"/>
            </w:r>
          </w:hyperlink>
        </w:p>
        <w:p w14:paraId="4E876CD9" w14:textId="710B3A79"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4" w:history="1">
            <w:r w:rsidR="00F46E9A" w:rsidRPr="00145704">
              <w:rPr>
                <w:rStyle w:val="Hipercze"/>
                <w:rFonts w:cstheme="minorHAnsi"/>
                <w:noProof/>
              </w:rPr>
              <w:t>XII. Informacja dla Wykonawców wspólnie ubiegających się o udzielenie zamówienia*</w:t>
            </w:r>
            <w:r w:rsidR="00F46E9A">
              <w:rPr>
                <w:noProof/>
                <w:webHidden/>
              </w:rPr>
              <w:tab/>
            </w:r>
            <w:r w:rsidR="00F46E9A">
              <w:rPr>
                <w:noProof/>
                <w:webHidden/>
              </w:rPr>
              <w:fldChar w:fldCharType="begin"/>
            </w:r>
            <w:r w:rsidR="00F46E9A">
              <w:rPr>
                <w:noProof/>
                <w:webHidden/>
              </w:rPr>
              <w:instrText xml:space="preserve"> PAGEREF _Toc135663024 \h </w:instrText>
            </w:r>
            <w:r w:rsidR="00F46E9A">
              <w:rPr>
                <w:noProof/>
                <w:webHidden/>
              </w:rPr>
            </w:r>
            <w:r w:rsidR="00F46E9A">
              <w:rPr>
                <w:noProof/>
                <w:webHidden/>
              </w:rPr>
              <w:fldChar w:fldCharType="separate"/>
            </w:r>
            <w:r w:rsidR="00B75217">
              <w:rPr>
                <w:noProof/>
                <w:webHidden/>
              </w:rPr>
              <w:t>13</w:t>
            </w:r>
            <w:r w:rsidR="00F46E9A">
              <w:rPr>
                <w:noProof/>
                <w:webHidden/>
              </w:rPr>
              <w:fldChar w:fldCharType="end"/>
            </w:r>
          </w:hyperlink>
        </w:p>
        <w:p w14:paraId="3C67AA2F" w14:textId="6208E8FE"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5" w:history="1">
            <w:r w:rsidR="00F46E9A" w:rsidRPr="00145704">
              <w:rPr>
                <w:rStyle w:val="Hipercze"/>
                <w:rFonts w:cstheme="minorHAnsi"/>
                <w:noProof/>
              </w:rPr>
              <w:t>XIII. Informacje o sposobie porozumiewania się zamawiającego z Wykonawcami oraz przekazywania oświadczeń lub dokumentów</w:t>
            </w:r>
            <w:r w:rsidR="00F46E9A">
              <w:rPr>
                <w:noProof/>
                <w:webHidden/>
              </w:rPr>
              <w:tab/>
            </w:r>
            <w:r w:rsidR="00F46E9A">
              <w:rPr>
                <w:noProof/>
                <w:webHidden/>
              </w:rPr>
              <w:fldChar w:fldCharType="begin"/>
            </w:r>
            <w:r w:rsidR="00F46E9A">
              <w:rPr>
                <w:noProof/>
                <w:webHidden/>
              </w:rPr>
              <w:instrText xml:space="preserve"> PAGEREF _Toc135663025 \h </w:instrText>
            </w:r>
            <w:r w:rsidR="00F46E9A">
              <w:rPr>
                <w:noProof/>
                <w:webHidden/>
              </w:rPr>
            </w:r>
            <w:r w:rsidR="00F46E9A">
              <w:rPr>
                <w:noProof/>
                <w:webHidden/>
              </w:rPr>
              <w:fldChar w:fldCharType="separate"/>
            </w:r>
            <w:r w:rsidR="00B75217">
              <w:rPr>
                <w:noProof/>
                <w:webHidden/>
              </w:rPr>
              <w:t>13</w:t>
            </w:r>
            <w:r w:rsidR="00F46E9A">
              <w:rPr>
                <w:noProof/>
                <w:webHidden/>
              </w:rPr>
              <w:fldChar w:fldCharType="end"/>
            </w:r>
          </w:hyperlink>
        </w:p>
        <w:p w14:paraId="6FF88F62" w14:textId="32BFCF9C"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6" w:history="1">
            <w:r w:rsidR="00F46E9A" w:rsidRPr="00145704">
              <w:rPr>
                <w:rStyle w:val="Hipercze"/>
                <w:rFonts w:cstheme="minorHAnsi"/>
                <w:noProof/>
              </w:rPr>
              <w:t>XIV. Opis sposobu przygotowania ofert oraz dokumentów wymaganych przez Zamawiającego w SWZ</w:t>
            </w:r>
            <w:r w:rsidR="00F46E9A">
              <w:rPr>
                <w:noProof/>
                <w:webHidden/>
              </w:rPr>
              <w:tab/>
            </w:r>
            <w:r w:rsidR="00F46E9A">
              <w:rPr>
                <w:noProof/>
                <w:webHidden/>
              </w:rPr>
              <w:fldChar w:fldCharType="begin"/>
            </w:r>
            <w:r w:rsidR="00F46E9A">
              <w:rPr>
                <w:noProof/>
                <w:webHidden/>
              </w:rPr>
              <w:instrText xml:space="preserve"> PAGEREF _Toc135663026 \h </w:instrText>
            </w:r>
            <w:r w:rsidR="00F46E9A">
              <w:rPr>
                <w:noProof/>
                <w:webHidden/>
              </w:rPr>
            </w:r>
            <w:r w:rsidR="00F46E9A">
              <w:rPr>
                <w:noProof/>
                <w:webHidden/>
              </w:rPr>
              <w:fldChar w:fldCharType="separate"/>
            </w:r>
            <w:r w:rsidR="00B75217">
              <w:rPr>
                <w:noProof/>
                <w:webHidden/>
              </w:rPr>
              <w:t>17</w:t>
            </w:r>
            <w:r w:rsidR="00F46E9A">
              <w:rPr>
                <w:noProof/>
                <w:webHidden/>
              </w:rPr>
              <w:fldChar w:fldCharType="end"/>
            </w:r>
          </w:hyperlink>
        </w:p>
        <w:p w14:paraId="2DA1994A" w14:textId="3AF3878D"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7" w:history="1">
            <w:r w:rsidR="00F46E9A" w:rsidRPr="00145704">
              <w:rPr>
                <w:rStyle w:val="Hipercze"/>
                <w:rFonts w:cstheme="minorHAnsi"/>
                <w:noProof/>
              </w:rPr>
              <w:t>XV. Sposób obliczania ceny oferty</w:t>
            </w:r>
            <w:r w:rsidR="00F46E9A">
              <w:rPr>
                <w:noProof/>
                <w:webHidden/>
              </w:rPr>
              <w:tab/>
            </w:r>
            <w:r w:rsidR="00F46E9A">
              <w:rPr>
                <w:noProof/>
                <w:webHidden/>
              </w:rPr>
              <w:fldChar w:fldCharType="begin"/>
            </w:r>
            <w:r w:rsidR="00F46E9A">
              <w:rPr>
                <w:noProof/>
                <w:webHidden/>
              </w:rPr>
              <w:instrText xml:space="preserve"> PAGEREF _Toc135663027 \h </w:instrText>
            </w:r>
            <w:r w:rsidR="00F46E9A">
              <w:rPr>
                <w:noProof/>
                <w:webHidden/>
              </w:rPr>
            </w:r>
            <w:r w:rsidR="00F46E9A">
              <w:rPr>
                <w:noProof/>
                <w:webHidden/>
              </w:rPr>
              <w:fldChar w:fldCharType="separate"/>
            </w:r>
            <w:r w:rsidR="00B75217">
              <w:rPr>
                <w:noProof/>
                <w:webHidden/>
              </w:rPr>
              <w:t>20</w:t>
            </w:r>
            <w:r w:rsidR="00F46E9A">
              <w:rPr>
                <w:noProof/>
                <w:webHidden/>
              </w:rPr>
              <w:fldChar w:fldCharType="end"/>
            </w:r>
          </w:hyperlink>
        </w:p>
        <w:p w14:paraId="2B827AEF" w14:textId="4C8C9C60"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8" w:history="1">
            <w:r w:rsidR="00F46E9A" w:rsidRPr="00145704">
              <w:rPr>
                <w:rStyle w:val="Hipercze"/>
                <w:rFonts w:cstheme="minorHAnsi"/>
                <w:noProof/>
              </w:rPr>
              <w:t>XVI. Wymagania dotyczące wadium.</w:t>
            </w:r>
            <w:r w:rsidR="00F46E9A">
              <w:rPr>
                <w:noProof/>
                <w:webHidden/>
              </w:rPr>
              <w:tab/>
            </w:r>
            <w:r w:rsidR="00F46E9A">
              <w:rPr>
                <w:noProof/>
                <w:webHidden/>
              </w:rPr>
              <w:fldChar w:fldCharType="begin"/>
            </w:r>
            <w:r w:rsidR="00F46E9A">
              <w:rPr>
                <w:noProof/>
                <w:webHidden/>
              </w:rPr>
              <w:instrText xml:space="preserve"> PAGEREF _Toc135663028 \h </w:instrText>
            </w:r>
            <w:r w:rsidR="00F46E9A">
              <w:rPr>
                <w:noProof/>
                <w:webHidden/>
              </w:rPr>
            </w:r>
            <w:r w:rsidR="00F46E9A">
              <w:rPr>
                <w:noProof/>
                <w:webHidden/>
              </w:rPr>
              <w:fldChar w:fldCharType="separate"/>
            </w:r>
            <w:r w:rsidR="00B75217">
              <w:rPr>
                <w:noProof/>
                <w:webHidden/>
              </w:rPr>
              <w:t>21</w:t>
            </w:r>
            <w:r w:rsidR="00F46E9A">
              <w:rPr>
                <w:noProof/>
                <w:webHidden/>
              </w:rPr>
              <w:fldChar w:fldCharType="end"/>
            </w:r>
          </w:hyperlink>
        </w:p>
        <w:p w14:paraId="47B2EE80" w14:textId="4C8A6606"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9" w:history="1">
            <w:r w:rsidR="00F46E9A" w:rsidRPr="00145704">
              <w:rPr>
                <w:rStyle w:val="Hipercze"/>
                <w:rFonts w:cstheme="minorHAnsi"/>
                <w:noProof/>
              </w:rPr>
              <w:t>XVII. Termin związania ofertą</w:t>
            </w:r>
            <w:r w:rsidR="00F46E9A">
              <w:rPr>
                <w:noProof/>
                <w:webHidden/>
              </w:rPr>
              <w:tab/>
            </w:r>
            <w:r w:rsidR="00F46E9A">
              <w:rPr>
                <w:noProof/>
                <w:webHidden/>
              </w:rPr>
              <w:fldChar w:fldCharType="begin"/>
            </w:r>
            <w:r w:rsidR="00F46E9A">
              <w:rPr>
                <w:noProof/>
                <w:webHidden/>
              </w:rPr>
              <w:instrText xml:space="preserve"> PAGEREF _Toc135663029 \h </w:instrText>
            </w:r>
            <w:r w:rsidR="00F46E9A">
              <w:rPr>
                <w:noProof/>
                <w:webHidden/>
              </w:rPr>
            </w:r>
            <w:r w:rsidR="00F46E9A">
              <w:rPr>
                <w:noProof/>
                <w:webHidden/>
              </w:rPr>
              <w:fldChar w:fldCharType="separate"/>
            </w:r>
            <w:r w:rsidR="00B75217">
              <w:rPr>
                <w:noProof/>
                <w:webHidden/>
              </w:rPr>
              <w:t>22</w:t>
            </w:r>
            <w:r w:rsidR="00F46E9A">
              <w:rPr>
                <w:noProof/>
                <w:webHidden/>
              </w:rPr>
              <w:fldChar w:fldCharType="end"/>
            </w:r>
          </w:hyperlink>
        </w:p>
        <w:p w14:paraId="36748FE0" w14:textId="58D50F60"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0" w:history="1">
            <w:r w:rsidR="00F46E9A" w:rsidRPr="00145704">
              <w:rPr>
                <w:rStyle w:val="Hipercze"/>
                <w:rFonts w:cstheme="minorHAnsi"/>
                <w:noProof/>
              </w:rPr>
              <w:t>XVIII. Miejsce, Sposób oraz termin składania ofert</w:t>
            </w:r>
            <w:r w:rsidR="00F46E9A">
              <w:rPr>
                <w:noProof/>
                <w:webHidden/>
              </w:rPr>
              <w:tab/>
            </w:r>
            <w:r w:rsidR="00F46E9A">
              <w:rPr>
                <w:noProof/>
                <w:webHidden/>
              </w:rPr>
              <w:fldChar w:fldCharType="begin"/>
            </w:r>
            <w:r w:rsidR="00F46E9A">
              <w:rPr>
                <w:noProof/>
                <w:webHidden/>
              </w:rPr>
              <w:instrText xml:space="preserve"> PAGEREF _Toc135663030 \h </w:instrText>
            </w:r>
            <w:r w:rsidR="00F46E9A">
              <w:rPr>
                <w:noProof/>
                <w:webHidden/>
              </w:rPr>
            </w:r>
            <w:r w:rsidR="00F46E9A">
              <w:rPr>
                <w:noProof/>
                <w:webHidden/>
              </w:rPr>
              <w:fldChar w:fldCharType="separate"/>
            </w:r>
            <w:r w:rsidR="00B75217">
              <w:rPr>
                <w:noProof/>
                <w:webHidden/>
              </w:rPr>
              <w:t>22</w:t>
            </w:r>
            <w:r w:rsidR="00F46E9A">
              <w:rPr>
                <w:noProof/>
                <w:webHidden/>
              </w:rPr>
              <w:fldChar w:fldCharType="end"/>
            </w:r>
          </w:hyperlink>
        </w:p>
        <w:p w14:paraId="30C04304" w14:textId="3E6FED33"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1" w:history="1">
            <w:r w:rsidR="00F46E9A" w:rsidRPr="00145704">
              <w:rPr>
                <w:rStyle w:val="Hipercze"/>
                <w:rFonts w:cstheme="minorHAnsi"/>
                <w:noProof/>
              </w:rPr>
              <w:t>XIX. Otwarcie ofert</w:t>
            </w:r>
            <w:r w:rsidR="00F46E9A">
              <w:rPr>
                <w:noProof/>
                <w:webHidden/>
              </w:rPr>
              <w:tab/>
            </w:r>
            <w:r w:rsidR="00F46E9A">
              <w:rPr>
                <w:noProof/>
                <w:webHidden/>
              </w:rPr>
              <w:fldChar w:fldCharType="begin"/>
            </w:r>
            <w:r w:rsidR="00F46E9A">
              <w:rPr>
                <w:noProof/>
                <w:webHidden/>
              </w:rPr>
              <w:instrText xml:space="preserve"> PAGEREF _Toc135663031 \h </w:instrText>
            </w:r>
            <w:r w:rsidR="00F46E9A">
              <w:rPr>
                <w:noProof/>
                <w:webHidden/>
              </w:rPr>
            </w:r>
            <w:r w:rsidR="00F46E9A">
              <w:rPr>
                <w:noProof/>
                <w:webHidden/>
              </w:rPr>
              <w:fldChar w:fldCharType="separate"/>
            </w:r>
            <w:r w:rsidR="00B75217">
              <w:rPr>
                <w:noProof/>
                <w:webHidden/>
              </w:rPr>
              <w:t>23</w:t>
            </w:r>
            <w:r w:rsidR="00F46E9A">
              <w:rPr>
                <w:noProof/>
                <w:webHidden/>
              </w:rPr>
              <w:fldChar w:fldCharType="end"/>
            </w:r>
          </w:hyperlink>
        </w:p>
        <w:p w14:paraId="5AD7C499" w14:textId="77D2C601"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2" w:history="1">
            <w:r w:rsidR="00F46E9A" w:rsidRPr="00145704">
              <w:rPr>
                <w:rStyle w:val="Hipercze"/>
                <w:rFonts w:cstheme="minorHAnsi"/>
                <w:noProof/>
              </w:rPr>
              <w:t>XX. Opis kryteriów oceny ofert wraz z podaniem wag tych kryteriów i sposobu oceny ofert</w:t>
            </w:r>
            <w:r w:rsidR="00F46E9A">
              <w:rPr>
                <w:noProof/>
                <w:webHidden/>
              </w:rPr>
              <w:tab/>
            </w:r>
            <w:r w:rsidR="00F46E9A">
              <w:rPr>
                <w:noProof/>
                <w:webHidden/>
              </w:rPr>
              <w:fldChar w:fldCharType="begin"/>
            </w:r>
            <w:r w:rsidR="00F46E9A">
              <w:rPr>
                <w:noProof/>
                <w:webHidden/>
              </w:rPr>
              <w:instrText xml:space="preserve"> PAGEREF _Toc135663032 \h </w:instrText>
            </w:r>
            <w:r w:rsidR="00F46E9A">
              <w:rPr>
                <w:noProof/>
                <w:webHidden/>
              </w:rPr>
            </w:r>
            <w:r w:rsidR="00F46E9A">
              <w:rPr>
                <w:noProof/>
                <w:webHidden/>
              </w:rPr>
              <w:fldChar w:fldCharType="separate"/>
            </w:r>
            <w:r w:rsidR="00B75217">
              <w:rPr>
                <w:noProof/>
                <w:webHidden/>
              </w:rPr>
              <w:t>23</w:t>
            </w:r>
            <w:r w:rsidR="00F46E9A">
              <w:rPr>
                <w:noProof/>
                <w:webHidden/>
              </w:rPr>
              <w:fldChar w:fldCharType="end"/>
            </w:r>
          </w:hyperlink>
        </w:p>
        <w:p w14:paraId="229DFAC0" w14:textId="4CABF6D6"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3" w:history="1">
            <w:r w:rsidR="00F46E9A" w:rsidRPr="00145704">
              <w:rPr>
                <w:rStyle w:val="Hipercze"/>
                <w:rFonts w:cstheme="minorHAnsi"/>
                <w:noProof/>
              </w:rPr>
              <w:t>XXI. Wymagania dotyczące zabezpieczenia należytego wykonania umowy.</w:t>
            </w:r>
            <w:r w:rsidR="00F46E9A">
              <w:rPr>
                <w:noProof/>
                <w:webHidden/>
              </w:rPr>
              <w:tab/>
            </w:r>
            <w:r w:rsidR="00F46E9A">
              <w:rPr>
                <w:noProof/>
                <w:webHidden/>
              </w:rPr>
              <w:fldChar w:fldCharType="begin"/>
            </w:r>
            <w:r w:rsidR="00F46E9A">
              <w:rPr>
                <w:noProof/>
                <w:webHidden/>
              </w:rPr>
              <w:instrText xml:space="preserve"> PAGEREF _Toc135663033 \h </w:instrText>
            </w:r>
            <w:r w:rsidR="00F46E9A">
              <w:rPr>
                <w:noProof/>
                <w:webHidden/>
              </w:rPr>
            </w:r>
            <w:r w:rsidR="00F46E9A">
              <w:rPr>
                <w:noProof/>
                <w:webHidden/>
              </w:rPr>
              <w:fldChar w:fldCharType="separate"/>
            </w:r>
            <w:r w:rsidR="00B75217">
              <w:rPr>
                <w:noProof/>
                <w:webHidden/>
              </w:rPr>
              <w:t>24</w:t>
            </w:r>
            <w:r w:rsidR="00F46E9A">
              <w:rPr>
                <w:noProof/>
                <w:webHidden/>
              </w:rPr>
              <w:fldChar w:fldCharType="end"/>
            </w:r>
          </w:hyperlink>
        </w:p>
        <w:p w14:paraId="21A95113" w14:textId="54C54426"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4" w:history="1">
            <w:r w:rsidR="00F46E9A" w:rsidRPr="00145704">
              <w:rPr>
                <w:rStyle w:val="Hipercze"/>
                <w:rFonts w:cstheme="minorHAnsi"/>
                <w:noProof/>
              </w:rPr>
              <w:t>XXII. Informacje o formalnościach, jakie powinny być dopełnione po wyborze oferty w celu zawarcia umowy</w:t>
            </w:r>
            <w:r w:rsidR="00F46E9A">
              <w:rPr>
                <w:noProof/>
                <w:webHidden/>
              </w:rPr>
              <w:tab/>
            </w:r>
            <w:r w:rsidR="00F46E9A">
              <w:rPr>
                <w:noProof/>
                <w:webHidden/>
              </w:rPr>
              <w:fldChar w:fldCharType="begin"/>
            </w:r>
            <w:r w:rsidR="00F46E9A">
              <w:rPr>
                <w:noProof/>
                <w:webHidden/>
              </w:rPr>
              <w:instrText xml:space="preserve"> PAGEREF _Toc135663034 \h </w:instrText>
            </w:r>
            <w:r w:rsidR="00F46E9A">
              <w:rPr>
                <w:noProof/>
                <w:webHidden/>
              </w:rPr>
            </w:r>
            <w:r w:rsidR="00F46E9A">
              <w:rPr>
                <w:noProof/>
                <w:webHidden/>
              </w:rPr>
              <w:fldChar w:fldCharType="separate"/>
            </w:r>
            <w:r w:rsidR="00B75217">
              <w:rPr>
                <w:noProof/>
                <w:webHidden/>
              </w:rPr>
              <w:t>25</w:t>
            </w:r>
            <w:r w:rsidR="00F46E9A">
              <w:rPr>
                <w:noProof/>
                <w:webHidden/>
              </w:rPr>
              <w:fldChar w:fldCharType="end"/>
            </w:r>
          </w:hyperlink>
        </w:p>
        <w:p w14:paraId="7797F7A7" w14:textId="1FDF6B83"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5" w:history="1">
            <w:r w:rsidR="00F46E9A" w:rsidRPr="00145704">
              <w:rPr>
                <w:rStyle w:val="Hipercze"/>
                <w:rFonts w:cstheme="minorHAnsi"/>
                <w:noProof/>
              </w:rPr>
              <w:t>XXIII. Informacje o treści zawieranej umowy oraz możliwości jej zmiany</w:t>
            </w:r>
            <w:r w:rsidR="00F46E9A">
              <w:rPr>
                <w:noProof/>
                <w:webHidden/>
              </w:rPr>
              <w:tab/>
            </w:r>
            <w:r w:rsidR="00F46E9A">
              <w:rPr>
                <w:noProof/>
                <w:webHidden/>
              </w:rPr>
              <w:fldChar w:fldCharType="begin"/>
            </w:r>
            <w:r w:rsidR="00F46E9A">
              <w:rPr>
                <w:noProof/>
                <w:webHidden/>
              </w:rPr>
              <w:instrText xml:space="preserve"> PAGEREF _Toc135663035 \h </w:instrText>
            </w:r>
            <w:r w:rsidR="00F46E9A">
              <w:rPr>
                <w:noProof/>
                <w:webHidden/>
              </w:rPr>
            </w:r>
            <w:r w:rsidR="00F46E9A">
              <w:rPr>
                <w:noProof/>
                <w:webHidden/>
              </w:rPr>
              <w:fldChar w:fldCharType="separate"/>
            </w:r>
            <w:r w:rsidR="00B75217">
              <w:rPr>
                <w:noProof/>
                <w:webHidden/>
              </w:rPr>
              <w:t>25</w:t>
            </w:r>
            <w:r w:rsidR="00F46E9A">
              <w:rPr>
                <w:noProof/>
                <w:webHidden/>
              </w:rPr>
              <w:fldChar w:fldCharType="end"/>
            </w:r>
          </w:hyperlink>
        </w:p>
        <w:p w14:paraId="1C04B2E3" w14:textId="1231E6B1"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6" w:history="1">
            <w:r w:rsidR="00F46E9A" w:rsidRPr="00145704">
              <w:rPr>
                <w:rStyle w:val="Hipercze"/>
                <w:rFonts w:cstheme="minorHAnsi"/>
                <w:noProof/>
              </w:rPr>
              <w:t>XXIV. Pouczenie o środkach ochrony prawnej przysługujących Wykonawcy</w:t>
            </w:r>
            <w:r w:rsidR="00F46E9A">
              <w:rPr>
                <w:noProof/>
                <w:webHidden/>
              </w:rPr>
              <w:tab/>
            </w:r>
            <w:r w:rsidR="00F46E9A">
              <w:rPr>
                <w:noProof/>
                <w:webHidden/>
              </w:rPr>
              <w:fldChar w:fldCharType="begin"/>
            </w:r>
            <w:r w:rsidR="00F46E9A">
              <w:rPr>
                <w:noProof/>
                <w:webHidden/>
              </w:rPr>
              <w:instrText xml:space="preserve"> PAGEREF _Toc135663036 \h </w:instrText>
            </w:r>
            <w:r w:rsidR="00F46E9A">
              <w:rPr>
                <w:noProof/>
                <w:webHidden/>
              </w:rPr>
            </w:r>
            <w:r w:rsidR="00F46E9A">
              <w:rPr>
                <w:noProof/>
                <w:webHidden/>
              </w:rPr>
              <w:fldChar w:fldCharType="separate"/>
            </w:r>
            <w:r w:rsidR="00B75217">
              <w:rPr>
                <w:noProof/>
                <w:webHidden/>
              </w:rPr>
              <w:t>26</w:t>
            </w:r>
            <w:r w:rsidR="00F46E9A">
              <w:rPr>
                <w:noProof/>
                <w:webHidden/>
              </w:rPr>
              <w:fldChar w:fldCharType="end"/>
            </w:r>
          </w:hyperlink>
        </w:p>
        <w:p w14:paraId="7B4F739F" w14:textId="07545284"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7" w:history="1">
            <w:r w:rsidR="00F46E9A" w:rsidRPr="00145704">
              <w:rPr>
                <w:rStyle w:val="Hipercze"/>
                <w:rFonts w:cstheme="minorHAnsi"/>
                <w:noProof/>
              </w:rPr>
              <w:t>XXV. Spis załączników</w:t>
            </w:r>
            <w:r w:rsidR="00F46E9A">
              <w:rPr>
                <w:noProof/>
                <w:webHidden/>
              </w:rPr>
              <w:tab/>
            </w:r>
            <w:r w:rsidR="00F46E9A">
              <w:rPr>
                <w:noProof/>
                <w:webHidden/>
              </w:rPr>
              <w:fldChar w:fldCharType="begin"/>
            </w:r>
            <w:r w:rsidR="00F46E9A">
              <w:rPr>
                <w:noProof/>
                <w:webHidden/>
              </w:rPr>
              <w:instrText xml:space="preserve"> PAGEREF _Toc135663037 \h </w:instrText>
            </w:r>
            <w:r w:rsidR="00F46E9A">
              <w:rPr>
                <w:noProof/>
                <w:webHidden/>
              </w:rPr>
            </w:r>
            <w:r w:rsidR="00F46E9A">
              <w:rPr>
                <w:noProof/>
                <w:webHidden/>
              </w:rPr>
              <w:fldChar w:fldCharType="separate"/>
            </w:r>
            <w:r w:rsidR="00B75217">
              <w:rPr>
                <w:noProof/>
                <w:webHidden/>
              </w:rPr>
              <w:t>27</w:t>
            </w:r>
            <w:r w:rsidR="00F46E9A">
              <w:rPr>
                <w:noProof/>
                <w:webHidden/>
              </w:rPr>
              <w:fldChar w:fldCharType="end"/>
            </w:r>
          </w:hyperlink>
        </w:p>
        <w:p w14:paraId="65A520DB" w14:textId="32138DB4" w:rsidR="004C6E37" w:rsidRPr="00CD6136" w:rsidRDefault="008870AA" w:rsidP="004C6E37">
          <w:pPr>
            <w:tabs>
              <w:tab w:val="right" w:pos="9025"/>
            </w:tabs>
            <w:spacing w:line="319" w:lineRule="auto"/>
            <w:rPr>
              <w:rFonts w:asciiTheme="minorHAnsi" w:hAnsiTheme="minorHAnsi" w:cstheme="minorHAnsi"/>
            </w:rPr>
          </w:pPr>
          <w:r w:rsidRPr="00CD6136">
            <w:rPr>
              <w:rFonts w:asciiTheme="minorHAnsi" w:hAnsiTheme="minorHAnsi" w:cstheme="minorHAnsi"/>
            </w:rPr>
            <w:fldChar w:fldCharType="end"/>
          </w:r>
        </w:p>
      </w:sdtContent>
    </w:sdt>
    <w:bookmarkEnd w:id="4"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5"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5"/>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6" w:name="_Toc135663015"/>
      <w:r w:rsidRPr="008870AA">
        <w:rPr>
          <w:rFonts w:asciiTheme="minorHAnsi" w:hAnsiTheme="minorHAnsi" w:cstheme="minorHAnsi"/>
          <w:b/>
          <w:bCs/>
          <w:sz w:val="24"/>
          <w:szCs w:val="24"/>
        </w:rPr>
        <w:t>II. Ochrona danych osobowych</w:t>
      </w:r>
      <w:bookmarkEnd w:id="6"/>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6"/>
      <w:r w:rsidRPr="008870AA">
        <w:rPr>
          <w:rFonts w:asciiTheme="minorHAnsi" w:hAnsiTheme="minorHAnsi" w:cstheme="minorHAnsi"/>
          <w:b/>
          <w:bCs/>
          <w:sz w:val="24"/>
          <w:szCs w:val="24"/>
        </w:rPr>
        <w:t>III. Tryb udzielania zamówienia</w:t>
      </w:r>
      <w:bookmarkEnd w:id="7"/>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0AD33B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8870AA">
        <w:rPr>
          <w:rFonts w:asciiTheme="minorHAnsi" w:hAnsiTheme="minorHAnsi" w:cstheme="minorHAnsi"/>
        </w:rPr>
        <w:lastRenderedPageBreak/>
        <w:t>art. 22 § 1 ustawy z dnia 26 czerwca 1974 r. - Kodeks pracy (</w:t>
      </w:r>
      <w:proofErr w:type="spellStart"/>
      <w:r w:rsidR="00CA578B">
        <w:rPr>
          <w:rFonts w:asciiTheme="minorHAnsi" w:hAnsiTheme="minorHAnsi" w:cstheme="minorHAnsi"/>
        </w:rPr>
        <w:t>t.j</w:t>
      </w:r>
      <w:proofErr w:type="spellEnd"/>
      <w:r w:rsidR="00CA578B">
        <w:rPr>
          <w:rFonts w:asciiTheme="minorHAnsi" w:hAnsiTheme="minorHAnsi" w:cstheme="minorHAnsi"/>
        </w:rPr>
        <w:t xml:space="preserve">. </w:t>
      </w:r>
      <w:r w:rsidRPr="008870AA">
        <w:rPr>
          <w:rFonts w:asciiTheme="minorHAnsi" w:hAnsiTheme="minorHAnsi" w:cstheme="minorHAnsi"/>
        </w:rPr>
        <w:t>Dz. U. z 20</w:t>
      </w:r>
      <w:r w:rsidR="00ED702C">
        <w:rPr>
          <w:rFonts w:asciiTheme="minorHAnsi" w:hAnsiTheme="minorHAnsi" w:cstheme="minorHAnsi"/>
        </w:rPr>
        <w:t>2</w:t>
      </w:r>
      <w:r w:rsidR="00CA578B">
        <w:rPr>
          <w:rFonts w:asciiTheme="minorHAnsi" w:hAnsiTheme="minorHAnsi" w:cstheme="minorHAnsi"/>
        </w:rPr>
        <w:t>2</w:t>
      </w:r>
      <w:r w:rsidRPr="008870AA">
        <w:rPr>
          <w:rFonts w:asciiTheme="minorHAnsi" w:hAnsiTheme="minorHAnsi" w:cstheme="minorHAnsi"/>
        </w:rPr>
        <w:t xml:space="preserve"> r. poz. </w:t>
      </w:r>
      <w:r w:rsidR="00CA578B">
        <w:rPr>
          <w:rFonts w:asciiTheme="minorHAnsi" w:hAnsiTheme="minorHAnsi" w:cstheme="minorHAnsi"/>
        </w:rPr>
        <w:t>1510</w:t>
      </w:r>
      <w:r w:rsidR="00ED702C">
        <w:rPr>
          <w:rFonts w:asciiTheme="minorHAnsi" w:hAnsiTheme="minorHAnsi" w:cstheme="minorHAnsi"/>
        </w:rPr>
        <w:t xml:space="preserve"> ze zm.</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35663017"/>
      <w:r w:rsidRPr="008870AA">
        <w:rPr>
          <w:rFonts w:asciiTheme="minorHAnsi" w:hAnsiTheme="minorHAnsi" w:cstheme="minorHAnsi"/>
          <w:b/>
          <w:bCs/>
          <w:sz w:val="24"/>
          <w:szCs w:val="24"/>
        </w:rPr>
        <w:t>IV. Opis przedmiotu zamówienia</w:t>
      </w:r>
      <w:bookmarkStart w:id="9" w:name="_Hlk66787009"/>
      <w:bookmarkEnd w:id="8"/>
    </w:p>
    <w:p w14:paraId="6F200ADE" w14:textId="56A0D8D0" w:rsidR="00FC1487" w:rsidRPr="00FC1487" w:rsidRDefault="008870AA" w:rsidP="00651680">
      <w:pPr>
        <w:autoSpaceDE w:val="0"/>
        <w:autoSpaceDN w:val="0"/>
        <w:adjustRightInd w:val="0"/>
        <w:jc w:val="both"/>
        <w:rPr>
          <w:rFonts w:asciiTheme="minorHAnsi" w:eastAsia="Times New Roman" w:hAnsiTheme="minorHAnsi" w:cstheme="minorHAnsi"/>
          <w:bCs/>
          <w:lang w:val="pl-PL"/>
        </w:rPr>
      </w:pPr>
      <w:bookmarkStart w:id="10" w:name="_Hlk86912487"/>
      <w:r w:rsidRPr="00EC6369">
        <w:rPr>
          <w:rFonts w:asciiTheme="minorHAnsi" w:hAnsiTheme="minorHAnsi" w:cstheme="minorHAnsi"/>
          <w:b/>
          <w:bCs/>
        </w:rPr>
        <w:t>1.</w:t>
      </w:r>
      <w:r w:rsidRPr="00EC6369">
        <w:rPr>
          <w:rFonts w:asciiTheme="minorHAnsi" w:hAnsiTheme="minorHAnsi" w:cstheme="minorHAnsi"/>
        </w:rPr>
        <w:t xml:space="preserve"> Przedmiotem </w:t>
      </w:r>
      <w:r w:rsidR="00F25413" w:rsidRPr="00EC6369">
        <w:rPr>
          <w:rFonts w:asciiTheme="minorHAnsi" w:hAnsiTheme="minorHAnsi" w:cstheme="minorHAnsi"/>
        </w:rPr>
        <w:t xml:space="preserve">niniejszego </w:t>
      </w:r>
      <w:r w:rsidRPr="00EC6369">
        <w:rPr>
          <w:rFonts w:asciiTheme="minorHAnsi" w:hAnsiTheme="minorHAnsi" w:cstheme="minorHAnsi"/>
        </w:rPr>
        <w:t xml:space="preserve">zamówienia </w:t>
      </w:r>
      <w:r w:rsidR="00F25413" w:rsidRPr="00EC6369">
        <w:rPr>
          <w:rFonts w:asciiTheme="minorHAnsi" w:hAnsiTheme="minorHAnsi" w:cstheme="minorHAnsi"/>
        </w:rPr>
        <w:t>jest</w:t>
      </w:r>
      <w:bookmarkStart w:id="11" w:name="_Hlk124949566"/>
      <w:r w:rsidR="008D453C">
        <w:rPr>
          <w:rFonts w:asciiTheme="minorHAnsi" w:hAnsiTheme="minorHAnsi" w:cstheme="minorHAnsi"/>
        </w:rPr>
        <w:t xml:space="preserve"> </w:t>
      </w:r>
      <w:r w:rsidR="00651680">
        <w:rPr>
          <w:rFonts w:asciiTheme="minorHAnsi" w:eastAsiaTheme="minorHAnsi" w:hAnsiTheme="minorHAnsi" w:cstheme="minorHAnsi"/>
          <w:lang w:val="pl-PL" w:eastAsia="en-US"/>
        </w:rPr>
        <w:t xml:space="preserve">wykonanie remontu dachu i elewacji budynku Urzędu Gminy Dopiewo, przy ul. Leśnej 1c w Dopiewie, polegającego na wykonaniu nowego pokrycia z dwóch warstw papy oraz malowaniu elewacji farbą zewnętrzną silikonową wraz z wszelkimi robotami </w:t>
      </w:r>
      <w:r w:rsidR="00922DDB">
        <w:rPr>
          <w:rFonts w:asciiTheme="minorHAnsi" w:eastAsiaTheme="minorHAnsi" w:hAnsiTheme="minorHAnsi" w:cstheme="minorHAnsi"/>
          <w:lang w:val="pl-PL" w:eastAsia="en-US"/>
        </w:rPr>
        <w:t>towarzyszącymi wskazanymi w dokumentacji.</w:t>
      </w:r>
    </w:p>
    <w:p w14:paraId="7F3C7A8E" w14:textId="236E5CEF" w:rsidR="004B763E" w:rsidRPr="00CF7362" w:rsidRDefault="004B763E" w:rsidP="00FC1487">
      <w:pPr>
        <w:spacing w:line="319" w:lineRule="auto"/>
        <w:jc w:val="both"/>
        <w:rPr>
          <w:rFonts w:asciiTheme="minorHAnsi" w:eastAsia="Times New Roman" w:hAnsiTheme="minorHAnsi" w:cstheme="minorHAnsi"/>
          <w:color w:val="FF0000"/>
          <w:lang w:val="pl-PL"/>
        </w:rPr>
      </w:pPr>
    </w:p>
    <w:bookmarkEnd w:id="11"/>
    <w:p w14:paraId="22D79036" w14:textId="232E6D90" w:rsidR="00595D00" w:rsidRPr="00EC6369" w:rsidRDefault="008A34DD" w:rsidP="00EC6369">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b/>
        </w:rPr>
        <w:t xml:space="preserve">2. </w:t>
      </w:r>
      <w:r w:rsidR="00595D00" w:rsidRPr="00EC6369">
        <w:rPr>
          <w:rFonts w:asciiTheme="minorHAnsi" w:eastAsia="Times New Roman" w:hAnsiTheme="minorHAnsi" w:cstheme="minorHAnsi"/>
          <w:b/>
        </w:rPr>
        <w:t xml:space="preserve">Wspólny Słownik Zamówień (CPV):  </w:t>
      </w:r>
    </w:p>
    <w:bookmarkEnd w:id="10"/>
    <w:p w14:paraId="3A73C511" w14:textId="00F38ADA" w:rsidR="0022393E" w:rsidRPr="0022393E" w:rsidRDefault="0022393E" w:rsidP="0022393E">
      <w:pPr>
        <w:autoSpaceDE w:val="0"/>
        <w:autoSpaceDN w:val="0"/>
        <w:adjustRightInd w:val="0"/>
        <w:rPr>
          <w:rFonts w:asciiTheme="minorHAnsi" w:eastAsiaTheme="minorHAnsi" w:hAnsiTheme="minorHAnsi" w:cstheme="minorHAnsi"/>
          <w:bCs/>
          <w:kern w:val="3"/>
          <w:lang w:val="pl-PL" w:eastAsia="en-US"/>
        </w:rPr>
      </w:pPr>
      <w:r w:rsidRPr="0022393E">
        <w:rPr>
          <w:rFonts w:asciiTheme="minorHAnsi" w:eastAsiaTheme="minorHAnsi" w:hAnsiTheme="minorHAnsi" w:cstheme="minorHAnsi"/>
          <w:b/>
          <w:kern w:val="3"/>
          <w:lang w:val="pl-PL" w:eastAsia="en-US"/>
        </w:rPr>
        <w:t xml:space="preserve">Główny kod CPV: </w:t>
      </w:r>
      <w:r w:rsidR="00922DDB">
        <w:rPr>
          <w:rFonts w:asciiTheme="minorHAnsi" w:eastAsiaTheme="minorHAnsi" w:hAnsiTheme="minorHAnsi" w:cstheme="minorHAnsi"/>
          <w:b/>
          <w:bCs/>
          <w:kern w:val="3"/>
          <w:lang w:val="pl-PL" w:eastAsia="en-US"/>
        </w:rPr>
        <w:t>45000000-7 Roboty budowlane</w:t>
      </w:r>
    </w:p>
    <w:p w14:paraId="065BED0E" w14:textId="77777777" w:rsidR="0022393E" w:rsidRPr="0022393E" w:rsidRDefault="0022393E" w:rsidP="0022393E">
      <w:pPr>
        <w:autoSpaceDE w:val="0"/>
        <w:autoSpaceDN w:val="0"/>
        <w:adjustRightInd w:val="0"/>
        <w:rPr>
          <w:rFonts w:asciiTheme="minorHAnsi" w:eastAsiaTheme="minorHAnsi" w:hAnsiTheme="minorHAnsi" w:cstheme="minorHAnsi"/>
          <w:bCs/>
          <w:kern w:val="3"/>
          <w:lang w:val="pl-PL" w:eastAsia="en-US"/>
        </w:rPr>
      </w:pPr>
      <w:r w:rsidRPr="0022393E">
        <w:rPr>
          <w:rFonts w:asciiTheme="minorHAnsi" w:eastAsiaTheme="minorHAnsi" w:hAnsiTheme="minorHAnsi" w:cstheme="minorHAnsi"/>
          <w:bCs/>
          <w:kern w:val="3"/>
          <w:lang w:val="pl-PL" w:eastAsia="en-US"/>
        </w:rPr>
        <w:t xml:space="preserve">Dodatkowy kod CPV: </w:t>
      </w:r>
    </w:p>
    <w:p w14:paraId="22BBB0E4" w14:textId="13976FD0" w:rsidR="0022393E" w:rsidRDefault="00922DDB" w:rsidP="0022393E">
      <w:pPr>
        <w:jc w:val="both"/>
        <w:rPr>
          <w:rFonts w:asciiTheme="minorHAnsi" w:eastAsiaTheme="minorHAnsi" w:hAnsiTheme="minorHAnsi" w:cstheme="minorHAnsi"/>
          <w:bCs/>
          <w:kern w:val="3"/>
          <w:lang w:val="pl-PL" w:eastAsia="en-US"/>
        </w:rPr>
      </w:pPr>
      <w:r>
        <w:rPr>
          <w:rFonts w:asciiTheme="minorHAnsi" w:eastAsiaTheme="minorHAnsi" w:hAnsiTheme="minorHAnsi" w:cstheme="minorHAnsi"/>
          <w:bCs/>
          <w:kern w:val="3"/>
          <w:lang w:val="pl-PL" w:eastAsia="en-US"/>
        </w:rPr>
        <w:t>45261000-4 Wykonanie pokryć i konstrukcji dachowych oraz podobne roboty</w:t>
      </w:r>
    </w:p>
    <w:p w14:paraId="7E58CB23" w14:textId="66F251FA" w:rsidR="00922DDB" w:rsidRDefault="00922DDB" w:rsidP="0022393E">
      <w:pPr>
        <w:jc w:val="both"/>
        <w:rPr>
          <w:rFonts w:asciiTheme="minorHAnsi" w:eastAsiaTheme="minorHAnsi" w:hAnsiTheme="minorHAnsi" w:cstheme="minorHAnsi"/>
          <w:bCs/>
          <w:kern w:val="3"/>
          <w:lang w:val="pl-PL" w:eastAsia="en-US"/>
        </w:rPr>
      </w:pPr>
      <w:r>
        <w:rPr>
          <w:rFonts w:asciiTheme="minorHAnsi" w:eastAsiaTheme="minorHAnsi" w:hAnsiTheme="minorHAnsi" w:cstheme="minorHAnsi"/>
          <w:bCs/>
          <w:kern w:val="3"/>
          <w:lang w:val="pl-PL" w:eastAsia="en-US"/>
        </w:rPr>
        <w:t>45443000-4 Roboty elewacyjne</w:t>
      </w:r>
    </w:p>
    <w:p w14:paraId="2132E1D7" w14:textId="5BF4115B" w:rsidR="00922DDB" w:rsidRDefault="00922DDB" w:rsidP="0022393E">
      <w:pPr>
        <w:jc w:val="both"/>
        <w:rPr>
          <w:rFonts w:asciiTheme="minorHAnsi" w:eastAsiaTheme="minorHAnsi" w:hAnsiTheme="minorHAnsi" w:cstheme="minorHAnsi"/>
          <w:bCs/>
          <w:kern w:val="3"/>
          <w:lang w:val="pl-PL" w:eastAsia="en-US"/>
        </w:rPr>
      </w:pPr>
      <w:r>
        <w:rPr>
          <w:rFonts w:asciiTheme="minorHAnsi" w:eastAsiaTheme="minorHAnsi" w:hAnsiTheme="minorHAnsi" w:cstheme="minorHAnsi"/>
          <w:bCs/>
          <w:kern w:val="3"/>
          <w:lang w:val="pl-PL" w:eastAsia="en-US"/>
        </w:rPr>
        <w:t>45320000-6 Roboty izolacyjne</w:t>
      </w:r>
    </w:p>
    <w:p w14:paraId="753F2465" w14:textId="38FFFD52" w:rsidR="00922DDB" w:rsidRPr="0022393E" w:rsidRDefault="00922DDB" w:rsidP="0022393E">
      <w:pPr>
        <w:jc w:val="both"/>
        <w:rPr>
          <w:rFonts w:asciiTheme="minorHAnsi" w:eastAsiaTheme="minorHAnsi" w:hAnsiTheme="minorHAnsi" w:cstheme="minorHAnsi"/>
          <w:bCs/>
          <w:kern w:val="3"/>
          <w:lang w:val="pl-PL" w:eastAsia="en-US"/>
        </w:rPr>
      </w:pPr>
      <w:r>
        <w:rPr>
          <w:rFonts w:asciiTheme="minorHAnsi" w:eastAsiaTheme="minorHAnsi" w:hAnsiTheme="minorHAnsi" w:cstheme="minorHAnsi"/>
          <w:bCs/>
          <w:kern w:val="3"/>
          <w:lang w:val="pl-PL" w:eastAsia="en-US"/>
        </w:rPr>
        <w:t>45421000-4 Roboty w zakresie stolarki budowlanej</w:t>
      </w:r>
    </w:p>
    <w:p w14:paraId="1D945B24" w14:textId="157DD127" w:rsidR="005A2283" w:rsidRPr="00B613BE" w:rsidRDefault="005A2283" w:rsidP="0022393E">
      <w:pPr>
        <w:spacing w:line="240"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dokumentacja projektowa, specyfikacj</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wykonania i odbioru robót</w:t>
      </w:r>
      <w:r w:rsidR="000248BC" w:rsidRPr="00931D79">
        <w:rPr>
          <w:rFonts w:asciiTheme="minorHAnsi" w:eastAsia="Times New Roman" w:hAnsiTheme="minorHAnsi" w:cstheme="minorHAnsi"/>
          <w:color w:val="000000"/>
        </w:rPr>
        <w:t>.</w:t>
      </w:r>
    </w:p>
    <w:p w14:paraId="02B1664C" w14:textId="3B85BF9B" w:rsidR="00A65A72" w:rsidRPr="00931D79" w:rsidRDefault="00CC779D" w:rsidP="000248BC">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738E32BD" w:rsidR="00392D2A" w:rsidRPr="00931D79" w:rsidRDefault="00533BC3"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b/>
          <w:bCs/>
          <w:szCs w:val="24"/>
        </w:rPr>
        <w:t>4</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BC3B96">
        <w:rPr>
          <w:rFonts w:asciiTheme="minorHAnsi" w:eastAsia="Times New Roman" w:hAnsiTheme="minorHAnsi" w:cstheme="minorHAnsi"/>
          <w:b/>
          <w:szCs w:val="24"/>
        </w:rPr>
        <w:t>36</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BC3B96">
        <w:rPr>
          <w:rFonts w:asciiTheme="minorHAnsi" w:eastAsia="Times New Roman" w:hAnsiTheme="minorHAnsi" w:cstheme="minorHAnsi"/>
          <w:b/>
          <w:szCs w:val="24"/>
        </w:rPr>
        <w:t>36</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325399FE"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BC3B96">
        <w:rPr>
          <w:rFonts w:asciiTheme="minorHAnsi" w:eastAsia="Times New Roman" w:hAnsiTheme="minorHAnsi" w:cstheme="minorHAnsi"/>
          <w:b/>
          <w:bCs/>
          <w:szCs w:val="24"/>
        </w:rPr>
        <w:t>60</w:t>
      </w:r>
      <w:r w:rsidRPr="00931D79">
        <w:rPr>
          <w:rFonts w:asciiTheme="minorHAnsi" w:eastAsia="Times New Roman" w:hAnsiTheme="minorHAnsi" w:cstheme="minorHAnsi"/>
          <w:b/>
          <w:bCs/>
          <w:szCs w:val="24"/>
        </w:rPr>
        <w:t xml:space="preserve"> miesi</w:t>
      </w:r>
      <w:r w:rsidR="00BC3B96">
        <w:rPr>
          <w:rFonts w:asciiTheme="minorHAnsi" w:eastAsia="Times New Roman" w:hAnsiTheme="minorHAnsi" w:cstheme="minorHAnsi"/>
          <w:b/>
          <w:bCs/>
          <w:szCs w:val="24"/>
        </w:rPr>
        <w:t>ęcy</w:t>
      </w:r>
      <w:r w:rsidR="00587233" w:rsidRPr="00931D79">
        <w:rPr>
          <w:rFonts w:asciiTheme="minorHAnsi" w:eastAsia="Times New Roman" w:hAnsiTheme="minorHAnsi" w:cstheme="minorHAnsi"/>
          <w:b/>
          <w:bCs/>
          <w:szCs w:val="24"/>
        </w:rPr>
        <w:t>.</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24A933E4" w:rsidR="008870AA" w:rsidRPr="008870AA" w:rsidRDefault="00533BC3"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lastRenderedPageBreak/>
        <w:t>5</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9"/>
    <w:p w14:paraId="0A05A80D" w14:textId="35057FCC" w:rsidR="008870AA" w:rsidRDefault="00533BC3"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679A5E39"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13302DD1" w14:textId="2AB1E219" w:rsidR="004B763E" w:rsidRPr="004B763E" w:rsidRDefault="004B763E" w:rsidP="004B763E">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t>
      </w:r>
    </w:p>
    <w:p w14:paraId="3A5A5722" w14:textId="72802251"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sidR="001C1D23">
        <w:rPr>
          <w:rFonts w:asciiTheme="minorHAnsi" w:eastAsiaTheme="minorHAnsi" w:hAnsiTheme="minorHAnsi" w:cstheme="minorHAnsi"/>
          <w:kern w:val="3"/>
          <w:lang w:val="pl-PL" w:eastAsia="x-none"/>
        </w:rPr>
        <w:t>,</w:t>
      </w:r>
    </w:p>
    <w:p w14:paraId="36CD93A3"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1B2213E1"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dokumentacji projektowej i stanu faktycznego potwierdzonego wizją w terenie,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59C2366B" w:rsidR="008870AA" w:rsidRPr="008870AA" w:rsidRDefault="00533BC3"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52A852A" w:rsidR="00A65A72" w:rsidRPr="00567DD2" w:rsidRDefault="00533BC3"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59130C5A" w:rsidR="008870AA" w:rsidRPr="004B091D" w:rsidRDefault="00533BC3"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2" w:name="_Toc135663018"/>
      <w:r w:rsidRPr="008870AA">
        <w:rPr>
          <w:rFonts w:asciiTheme="minorHAnsi" w:hAnsiTheme="minorHAnsi" w:cstheme="minorHAnsi"/>
          <w:b/>
          <w:bCs/>
          <w:sz w:val="24"/>
          <w:szCs w:val="24"/>
        </w:rPr>
        <w:t>V. Wizja lokalna</w:t>
      </w:r>
      <w:bookmarkEnd w:id="12"/>
    </w:p>
    <w:p w14:paraId="2FA986F8" w14:textId="77777777" w:rsidR="00A67070" w:rsidRDefault="00A67070" w:rsidP="00A67070">
      <w:pPr>
        <w:spacing w:line="319" w:lineRule="auto"/>
        <w:jc w:val="both"/>
        <w:rPr>
          <w:rFonts w:asciiTheme="minorHAnsi" w:hAnsiTheme="minorHAnsi" w:cstheme="minorHAnsi"/>
        </w:rPr>
      </w:pPr>
      <w:r>
        <w:rPr>
          <w:rFonts w:asciiTheme="minorHAnsi" w:hAnsiTheme="minorHAnsi" w:cstheme="minorHAnsi"/>
        </w:rPr>
        <w:t xml:space="preserve">1. </w:t>
      </w: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15ABADF7" w14:textId="77777777" w:rsidR="00A67070" w:rsidRDefault="00A67070" w:rsidP="00A67070">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763D9659" w14:textId="77777777" w:rsidR="00A67070" w:rsidRDefault="00A67070" w:rsidP="00A67070">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33BDC852" w14:textId="77777777" w:rsidR="00A67070" w:rsidRDefault="00A67070" w:rsidP="00A67070">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12BAD286" w14:textId="77777777" w:rsidR="00A67070" w:rsidRDefault="00A67070" w:rsidP="00A67070">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242B2544" w14:textId="77777777" w:rsidR="00A67070" w:rsidRPr="008870AA" w:rsidRDefault="00A67070" w:rsidP="00A67070">
      <w:pPr>
        <w:spacing w:line="319" w:lineRule="auto"/>
        <w:jc w:val="both"/>
        <w:rPr>
          <w:rFonts w:asciiTheme="minorHAnsi" w:hAnsiTheme="minorHAnsi" w:cstheme="minorHAnsi"/>
        </w:rPr>
      </w:pPr>
      <w:hyperlink r:id="rId12" w:history="1">
        <w:r w:rsidRPr="002675A3">
          <w:rPr>
            <w:rStyle w:val="Hipercze"/>
            <w:rFonts w:asciiTheme="minorHAnsi" w:hAnsiTheme="minorHAnsi" w:cstheme="minorHAnsi"/>
          </w:rPr>
          <w:t>https://platformazakupowa.pl/pn/dopiewo</w:t>
        </w:r>
      </w:hyperlink>
      <w:r>
        <w:rPr>
          <w:rFonts w:asciiTheme="minorHAnsi" w:hAnsiTheme="minorHAnsi" w:cstheme="minorHAnsi"/>
        </w:rPr>
        <w:t>, dotyczącą niniejszego postępowania, podając datę i godzinę odpowiadającą Wykonawcy.</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135663019"/>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482EF5A0"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F802B1">
        <w:rPr>
          <w:rFonts w:asciiTheme="minorHAnsi" w:hAnsiTheme="minorHAnsi" w:cstheme="minorHAnsi"/>
          <w:b/>
          <w:bCs/>
        </w:rPr>
        <w:t>3</w:t>
      </w:r>
      <w:r w:rsidR="00F15A45">
        <w:rPr>
          <w:rFonts w:asciiTheme="minorHAnsi" w:hAnsiTheme="minorHAnsi" w:cstheme="minorHAnsi"/>
          <w:b/>
          <w:bCs/>
        </w:rPr>
        <w:t xml:space="preserve"> miesięcy </w:t>
      </w:r>
      <w:r w:rsidR="00764A11" w:rsidRPr="00F24D6E">
        <w:rPr>
          <w:rFonts w:asciiTheme="minorHAnsi" w:hAnsiTheme="minorHAnsi" w:cstheme="minorHAnsi"/>
          <w:b/>
          <w:bCs/>
        </w:rPr>
        <w:t xml:space="preserve">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631B47BC"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4"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4"/>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5"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700C06EF" w14:textId="1C2FD105" w:rsidR="00F802B1" w:rsidRPr="00F802B1" w:rsidRDefault="00F802B1" w:rsidP="00F802B1">
      <w:pPr>
        <w:pStyle w:val="Akapitzlist"/>
        <w:numPr>
          <w:ilvl w:val="1"/>
          <w:numId w:val="14"/>
        </w:numPr>
        <w:spacing w:line="312" w:lineRule="auto"/>
        <w:ind w:left="567" w:hanging="141"/>
        <w:jc w:val="both"/>
        <w:rPr>
          <w:rFonts w:eastAsia="Times New Roman" w:cs="Calibri"/>
          <w:sz w:val="20"/>
        </w:rPr>
      </w:pPr>
      <w:bookmarkStart w:id="16" w:name="_Hlk5877927"/>
      <w:bookmarkStart w:id="17" w:name="_Hlk118800681"/>
      <w:bookmarkStart w:id="18" w:name="_Hlk87001286"/>
      <w:bookmarkStart w:id="19" w:name="_Hlk87005844"/>
      <w:r>
        <w:t xml:space="preserve">Wykonawca spełni warunek jeżeli wykaże, że w okresie ostatnich 5 lat przed upływem terminu składania ofert, a jeżeli okres prowadzenia działalności jest krótszy – w tym okresie, </w:t>
      </w:r>
      <w:r w:rsidRPr="00F802B1">
        <w:rPr>
          <w:b/>
          <w:bCs/>
        </w:rPr>
        <w:t>należycie wykonał co najmniej jedną robotę budowlaną (zrealizowaną w ramach jednej umowy) o wartości co najmniej 250.000,00 zł brutto przedmiotem, której były roboty ogólnobudowlane.</w:t>
      </w:r>
    </w:p>
    <w:p w14:paraId="12827913" w14:textId="1BA1778F" w:rsidR="00AB7F95" w:rsidRDefault="00AF1F40" w:rsidP="000768E5">
      <w:pPr>
        <w:spacing w:line="319" w:lineRule="auto"/>
        <w:ind w:left="567"/>
        <w:jc w:val="both"/>
        <w:rPr>
          <w:rFonts w:asciiTheme="minorHAnsi" w:eastAsia="Times New Roman" w:hAnsiTheme="minorHAnsi" w:cstheme="minorHAnsi"/>
        </w:rPr>
      </w:pPr>
      <w:r w:rsidRPr="000768E5">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F333458" w14:textId="77777777" w:rsidR="007333F8" w:rsidRPr="000768E5" w:rsidRDefault="007333F8" w:rsidP="000768E5">
      <w:pPr>
        <w:spacing w:line="319" w:lineRule="auto"/>
        <w:ind w:left="567"/>
        <w:jc w:val="both"/>
        <w:rPr>
          <w:rFonts w:asciiTheme="minorHAnsi" w:eastAsia="Times New Roman" w:hAnsiTheme="minorHAnsi" w:cstheme="minorHAnsi"/>
        </w:rPr>
      </w:pPr>
    </w:p>
    <w:p w14:paraId="5C3225FA" w14:textId="0DF85BCE" w:rsidR="00FE6FFF" w:rsidRDefault="004A3292" w:rsidP="00715F38">
      <w:pPr>
        <w:spacing w:line="319" w:lineRule="auto"/>
        <w:ind w:left="567"/>
        <w:jc w:val="both"/>
        <w:rPr>
          <w:rFonts w:asciiTheme="minorHAnsi" w:hAnsiTheme="minorHAnsi" w:cstheme="minorHAnsi"/>
        </w:rPr>
      </w:pPr>
      <w:bookmarkStart w:id="20"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0"/>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6"/>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66C49871" w14:textId="250EB369" w:rsidR="000E7830" w:rsidRPr="00F802B1" w:rsidRDefault="00866103" w:rsidP="00F802B1">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szCs w:val="24"/>
        </w:rPr>
        <w:t xml:space="preserve">- </w:t>
      </w:r>
      <w:r w:rsidRPr="00931D79">
        <w:rPr>
          <w:rFonts w:asciiTheme="minorHAnsi" w:eastAsia="Times New Roman" w:hAnsiTheme="minorHAnsi" w:cstheme="minorHAnsi"/>
          <w:b/>
          <w:szCs w:val="24"/>
        </w:rPr>
        <w:t xml:space="preserve">kierownikiem budowy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w:t>
      </w:r>
      <w:r w:rsidR="00F802B1">
        <w:rPr>
          <w:rFonts w:asciiTheme="minorHAnsi" w:eastAsia="Times New Roman" w:hAnsiTheme="minorHAnsi" w:cstheme="minorHAnsi"/>
          <w:b/>
          <w:szCs w:val="24"/>
        </w:rPr>
        <w:t>konstrukcyjno-budowlanej.</w:t>
      </w:r>
    </w:p>
    <w:bookmarkEnd w:id="15"/>
    <w:bookmarkEnd w:id="17"/>
    <w:p w14:paraId="323C0308" w14:textId="77777777" w:rsidR="00F802B1" w:rsidRDefault="00F802B1" w:rsidP="000E7830">
      <w:pPr>
        <w:spacing w:line="319" w:lineRule="auto"/>
        <w:ind w:left="539"/>
        <w:jc w:val="both"/>
        <w:rPr>
          <w:rFonts w:asciiTheme="minorHAnsi" w:eastAsia="Times New Roman" w:hAnsiTheme="minorHAnsi" w:cstheme="minorHAnsi"/>
        </w:rPr>
      </w:pPr>
    </w:p>
    <w:p w14:paraId="524645FB" w14:textId="40059BEF"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lastRenderedPageBreak/>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1" w:name="_Hlk53567073"/>
    </w:p>
    <w:bookmarkEnd w:id="21"/>
    <w:p w14:paraId="7D4BEFB5" w14:textId="5979F438" w:rsidR="009A7910" w:rsidRDefault="009A7910" w:rsidP="009A7910">
      <w:pPr>
        <w:spacing w:line="319" w:lineRule="auto"/>
        <w:ind w:left="567"/>
        <w:jc w:val="both"/>
        <w:rPr>
          <w:rFonts w:asciiTheme="minorHAnsi" w:hAnsiTheme="minorHAnsi" w:cstheme="minorHAnsi"/>
        </w:rPr>
      </w:pPr>
      <w:r w:rsidRPr="003E3E74">
        <w:rPr>
          <w:rFonts w:asciiTheme="minorHAnsi" w:hAnsiTheme="minorHAnsi" w:cstheme="minorHAnsi"/>
        </w:rPr>
        <w:t xml:space="preserve">W przypadku wspólnego ubiegania się wykonawców o udzielenie zamówienia lub polegania na zdolnościach podmiotów udostępniających zasoby w/w warunek </w:t>
      </w:r>
      <w:r w:rsidR="00C73B66">
        <w:rPr>
          <w:rFonts w:asciiTheme="minorHAnsi" w:hAnsiTheme="minorHAnsi" w:cstheme="minorHAnsi"/>
        </w:rPr>
        <w:t>może zostać spełniony wspólnie.</w:t>
      </w:r>
    </w:p>
    <w:p w14:paraId="081384F2" w14:textId="77777777" w:rsidR="009A7910" w:rsidRDefault="009A7910" w:rsidP="007769DC">
      <w:pPr>
        <w:ind w:left="540"/>
        <w:jc w:val="both"/>
        <w:rPr>
          <w:rFonts w:asciiTheme="minorHAnsi" w:eastAsia="Times New Roman" w:hAnsiTheme="minorHAnsi" w:cstheme="minorHAnsi"/>
        </w:rPr>
      </w:pPr>
    </w:p>
    <w:p w14:paraId="49B791BB" w14:textId="61FB7DBC"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2" w:name="_Toc135663021"/>
      <w:r w:rsidRPr="008870AA">
        <w:rPr>
          <w:rFonts w:asciiTheme="minorHAnsi" w:hAnsiTheme="minorHAnsi" w:cstheme="minorHAnsi"/>
          <w:b/>
          <w:bCs/>
          <w:sz w:val="24"/>
          <w:szCs w:val="24"/>
        </w:rPr>
        <w:t>IX. Podstawy wykluczenia z postępowania</w:t>
      </w:r>
      <w:bookmarkEnd w:id="22"/>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3"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4"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032324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5"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6"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7"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w:t>
      </w:r>
      <w:r w:rsidRPr="00697C0A">
        <w:rPr>
          <w:rFonts w:asciiTheme="minorHAnsi" w:eastAsia="Times New Roman" w:hAnsiTheme="minorHAnsi" w:cstheme="minorHAnsi"/>
        </w:rPr>
        <w:lastRenderedPageBreak/>
        <w:t>spożywczych specjalnego przeznaczenia żywieniowego oraz wyrobów medycznych (</w:t>
      </w:r>
      <w:proofErr w:type="spellStart"/>
      <w:r w:rsidR="00725473">
        <w:rPr>
          <w:rFonts w:asciiTheme="minorHAnsi" w:eastAsia="Times New Roman" w:hAnsiTheme="minorHAnsi" w:cstheme="minorHAnsi"/>
        </w:rPr>
        <w:t>t.j</w:t>
      </w:r>
      <w:proofErr w:type="spellEnd"/>
      <w:r w:rsidR="00725473">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8"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0"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1"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Pr>
          <w:rFonts w:asciiTheme="minorHAnsi" w:eastAsia="Times New Roman" w:hAnsiTheme="minorHAnsi" w:cstheme="minorHAnsi"/>
        </w:rPr>
        <w:t>t.j</w:t>
      </w:r>
      <w:proofErr w:type="spellEnd"/>
      <w:r w:rsidR="009A3EF9">
        <w:rPr>
          <w:rFonts w:asciiTheme="minorHAnsi" w:eastAsia="Times New Roman" w:hAnsiTheme="minorHAnsi" w:cstheme="minorHAnsi"/>
        </w:rPr>
        <w:t xml:space="preserve">.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2"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3"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4"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w:t>
      </w:r>
      <w:r w:rsidRPr="008870AA">
        <w:rPr>
          <w:rFonts w:asciiTheme="minorHAnsi" w:eastAsia="Times New Roman" w:hAnsiTheme="minorHAnsi" w:cstheme="minorHAnsi"/>
        </w:rPr>
        <w:lastRenderedPageBreak/>
        <w:t>spowodowane tym zakłócenie konkurencji może być wyeliminowane w inny sposób niż przez wykluczenie wykonawcy z udziału w postępowaniu o udzielenie zamówienia.</w:t>
      </w:r>
    </w:p>
    <w:p w14:paraId="3CFC5DC4" w14:textId="77777777" w:rsidR="00D23899" w:rsidRPr="00360B09" w:rsidRDefault="00D23899" w:rsidP="00360B09">
      <w:pPr>
        <w:pStyle w:val="Akapitzlist"/>
        <w:spacing w:after="0" w:line="319" w:lineRule="auto"/>
        <w:ind w:left="502"/>
        <w:jc w:val="both"/>
        <w:rPr>
          <w:rFonts w:asciiTheme="minorHAnsi" w:eastAsia="Times New Roman" w:hAnsiTheme="minorHAnsi" w:cstheme="minorHAnsi"/>
        </w:rPr>
      </w:pP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C940C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 xml:space="preserve">Dz. U. z 2022 r. poz. 593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3"/>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lastRenderedPageBreak/>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4" w:name="_Toc135663023"/>
      <w:r w:rsidRPr="008870AA">
        <w:rPr>
          <w:rFonts w:asciiTheme="minorHAnsi" w:hAnsiTheme="minorHAnsi" w:cstheme="minorHAnsi"/>
          <w:b/>
          <w:bCs/>
          <w:sz w:val="22"/>
          <w:szCs w:val="22"/>
        </w:rPr>
        <w:t>XI. Poleganie na zasobach innych podmiotów</w:t>
      </w:r>
      <w:bookmarkEnd w:id="24"/>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w:t>
      </w:r>
      <w:r w:rsidRPr="008870AA">
        <w:rPr>
          <w:rFonts w:asciiTheme="minorHAnsi" w:hAnsiTheme="minorHAnsi" w:cstheme="minorHAnsi"/>
        </w:rPr>
        <w:lastRenderedPageBreak/>
        <w:t xml:space="preserve">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5" w:name="_Hlk65499459"/>
      <w:r w:rsidRPr="008870AA">
        <w:rPr>
          <w:rFonts w:asciiTheme="minorHAnsi" w:hAnsiTheme="minorHAnsi" w:cstheme="minorHAnsi"/>
        </w:rPr>
        <w:t xml:space="preserve">Wykonawca powołuje się na jego zasoby, </w:t>
      </w:r>
      <w:bookmarkEnd w:id="25"/>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26"/>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27" w:name="_Hlk63772459"/>
      <w:r w:rsidRPr="008870AA">
        <w:rPr>
          <w:rFonts w:asciiTheme="minorHAnsi" w:hAnsiTheme="minorHAnsi" w:cstheme="minorHAnsi"/>
        </w:rPr>
        <w:t xml:space="preserve">Wykonawcy wspólnie ubiegający się o udzielenie zamówienia dołączają do oferty </w:t>
      </w:r>
      <w:bookmarkStart w:id="28"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7"/>
    <w:bookmarkEnd w:id="28"/>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135663025"/>
      <w:bookmarkStart w:id="30"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9"/>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1"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7"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2"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8" w:history="1">
        <w:r w:rsidRPr="008870AA">
          <w:rPr>
            <w:rStyle w:val="Hipercze"/>
            <w:rFonts w:asciiTheme="minorHAnsi" w:hAnsiTheme="minorHAnsi" w:cstheme="minorHAnsi"/>
          </w:rPr>
          <w:t>magdalena.pawlicka@dopiewo.pl</w:t>
        </w:r>
      </w:hyperlink>
    </w:p>
    <w:bookmarkEnd w:id="32"/>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lastRenderedPageBreak/>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0">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1">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3"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3"/>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w:t>
      </w:r>
      <w:r w:rsidRPr="008870AA">
        <w:rPr>
          <w:rFonts w:asciiTheme="minorHAnsi" w:hAnsiTheme="minorHAnsi" w:cstheme="minorHAnsi"/>
        </w:rPr>
        <w:lastRenderedPageBreak/>
        <w:t xml:space="preserve">Korespondencja, której zgodnie z obowiązującymi przepisami adresatem jest konkretny wykonawca, będzie przekazywana w formie elektronicznej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1"/>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135663026"/>
      <w:bookmarkStart w:id="35" w:name="_Hlk66110879"/>
      <w:r w:rsidRPr="008870AA">
        <w:rPr>
          <w:rFonts w:asciiTheme="minorHAnsi" w:hAnsiTheme="minorHAnsi" w:cstheme="minorHAnsi"/>
          <w:b/>
          <w:bCs/>
          <w:sz w:val="24"/>
          <w:szCs w:val="24"/>
        </w:rPr>
        <w:t>XIV. Opis sposobu przygotowania ofert oraz dokumentów wymaganych przez Zamawiającego w SWZ</w:t>
      </w:r>
      <w:bookmarkEnd w:id="34"/>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6" w:name="_Hlk65238743"/>
      <w:r w:rsidRPr="006506A6">
        <w:rPr>
          <w:rFonts w:asciiTheme="minorHAnsi" w:hAnsiTheme="minorHAnsi" w:cstheme="minorHAnsi"/>
        </w:rPr>
        <w:t xml:space="preserve">oświadczenie o niepodleganiu wykluczeniu składa </w:t>
      </w:r>
      <w:bookmarkEnd w:id="36"/>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37"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5"/>
    <w:bookmarkEnd w:id="37"/>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8" w:name="_Hlk80957306"/>
      <w:r w:rsidRPr="008870AA">
        <w:rPr>
          <w:rFonts w:asciiTheme="minorHAnsi" w:hAnsiTheme="minorHAnsi" w:cstheme="minorHAnsi"/>
        </w:rPr>
        <w:t>muszą zostać podpisane elektronicznym kwalifikowanym podpisem lub podpisem zaufanym lub podpisem osobistym</w:t>
      </w:r>
      <w:bookmarkEnd w:id="38"/>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5">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6">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7">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9">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0">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1"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9" w:name="_Toc135663027"/>
      <w:bookmarkEnd w:id="30"/>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9"/>
    </w:p>
    <w:p w14:paraId="43128FE9" w14:textId="00E7F7DB" w:rsidR="008870AA" w:rsidRPr="00CE2408"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C73612">
        <w:rPr>
          <w:rFonts w:asciiTheme="minorHAnsi" w:eastAsia="Times New Roman" w:hAnsiTheme="minorHAnsi" w:cstheme="minorHAnsi"/>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lastRenderedPageBreak/>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0"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1"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1"/>
    </w:p>
    <w:bookmarkEnd w:id="40"/>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98828B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7C0C82">
        <w:rPr>
          <w:rFonts w:asciiTheme="minorHAnsi" w:hAnsiTheme="minorHAnsi" w:cstheme="minorHAnsi"/>
        </w:rPr>
        <w:t>2</w:t>
      </w:r>
      <w:r w:rsidRPr="008870AA">
        <w:rPr>
          <w:rFonts w:asciiTheme="minorHAnsi" w:hAnsiTheme="minorHAnsi" w:cstheme="minorHAnsi"/>
        </w:rPr>
        <w:t xml:space="preserve"> r., poz. </w:t>
      </w:r>
      <w:r w:rsidR="007C0C82">
        <w:rPr>
          <w:rFonts w:asciiTheme="minorHAnsi" w:hAnsiTheme="minorHAnsi" w:cstheme="minorHAnsi"/>
        </w:rPr>
        <w:t>931</w:t>
      </w:r>
      <w:r w:rsidRPr="008870AA">
        <w:rPr>
          <w:rFonts w:asciiTheme="minorHAnsi" w:hAnsiTheme="minorHAnsi" w:cstheme="minorHAnsi"/>
        </w:rPr>
        <w:t xml:space="preserve">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2" w:name="_Toc135663028"/>
      <w:r w:rsidRPr="008870AA">
        <w:rPr>
          <w:rFonts w:asciiTheme="minorHAnsi" w:hAnsiTheme="minorHAnsi" w:cstheme="minorHAnsi"/>
          <w:b/>
          <w:bCs/>
          <w:sz w:val="22"/>
          <w:szCs w:val="22"/>
        </w:rPr>
        <w:lastRenderedPageBreak/>
        <w:t>XVI. Wymagania dotyczące wadium</w:t>
      </w:r>
      <w:r w:rsidR="00361462">
        <w:rPr>
          <w:rFonts w:asciiTheme="minorHAnsi" w:hAnsiTheme="minorHAnsi" w:cstheme="minorHAnsi"/>
          <w:b/>
          <w:bCs/>
          <w:sz w:val="22"/>
          <w:szCs w:val="22"/>
        </w:rPr>
        <w:t>.</w:t>
      </w:r>
      <w:bookmarkEnd w:id="42"/>
    </w:p>
    <w:p w14:paraId="5A3A178C" w14:textId="03FB59CE" w:rsidR="00361462" w:rsidRPr="003B0BF4" w:rsidRDefault="00361462">
      <w:pPr>
        <w:numPr>
          <w:ilvl w:val="3"/>
          <w:numId w:val="32"/>
        </w:numPr>
        <w:spacing w:line="319" w:lineRule="auto"/>
        <w:ind w:left="284" w:hanging="284"/>
        <w:jc w:val="both"/>
        <w:rPr>
          <w:rFonts w:asciiTheme="minorHAnsi" w:hAnsiTheme="minorHAnsi" w:cstheme="minorHAnsi"/>
        </w:rPr>
      </w:pPr>
      <w:r w:rsidRPr="003B0BF4">
        <w:rPr>
          <w:rFonts w:asciiTheme="minorHAnsi" w:hAnsiTheme="minorHAnsi" w:cstheme="minorHAnsi"/>
        </w:rPr>
        <w:t xml:space="preserve">Wykonawca zobowiązany jest do zabezpieczenia swojej oferty wadium w wysokości: </w:t>
      </w:r>
      <w:r w:rsidR="00D23899">
        <w:rPr>
          <w:rFonts w:asciiTheme="minorHAnsi" w:hAnsiTheme="minorHAnsi" w:cstheme="minorHAnsi"/>
          <w:b/>
          <w:bCs/>
        </w:rPr>
        <w:t>4</w:t>
      </w:r>
      <w:r w:rsidRPr="003B0BF4">
        <w:rPr>
          <w:rFonts w:asciiTheme="minorHAnsi" w:hAnsiTheme="minorHAnsi" w:cstheme="minorHAnsi"/>
          <w:b/>
          <w:bCs/>
        </w:rPr>
        <w:t>.000,00 zł</w:t>
      </w:r>
      <w:r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4CACD0DB"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D23899">
        <w:rPr>
          <w:rFonts w:asciiTheme="minorHAnsi" w:hAnsiTheme="minorHAnsi" w:cstheme="minorHAnsi"/>
          <w:b/>
          <w:bCs/>
        </w:rPr>
        <w:t>11</w:t>
      </w:r>
      <w:r w:rsidRPr="003B0BF4">
        <w:rPr>
          <w:rFonts w:asciiTheme="minorHAnsi" w:hAnsiTheme="minorHAnsi" w:cstheme="minorHAnsi"/>
          <w:b/>
          <w:bCs/>
        </w:rPr>
        <w:t>.202</w:t>
      </w:r>
      <w:r w:rsidR="00D64F65" w:rsidRPr="003B0BF4">
        <w:rPr>
          <w:rFonts w:asciiTheme="minorHAnsi" w:hAnsiTheme="minorHAnsi" w:cstheme="minorHAnsi"/>
          <w:b/>
          <w:bCs/>
        </w:rPr>
        <w:t>3</w:t>
      </w:r>
      <w:r w:rsidRPr="003B0BF4">
        <w:rPr>
          <w:rFonts w:asciiTheme="minorHAnsi" w:hAnsiTheme="minorHAnsi" w:cstheme="minorHAnsi"/>
          <w:b/>
          <w:bCs/>
        </w:rPr>
        <w:t>– „</w:t>
      </w:r>
      <w:r w:rsidR="00D23899">
        <w:rPr>
          <w:rFonts w:asciiTheme="minorHAnsi" w:hAnsiTheme="minorHAnsi" w:cstheme="minorHAnsi"/>
          <w:b/>
          <w:bCs/>
        </w:rPr>
        <w:t>Remont dachu i elewacji UG Dopiewo</w:t>
      </w:r>
      <w:r w:rsidRPr="003B0BF4">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Wykonawca będzie miał możliwość w przypadkach określonych w art. 98 ust.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lastRenderedPageBreak/>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3" w:name="_Toc135663029"/>
      <w:r w:rsidRPr="008870AA">
        <w:rPr>
          <w:rFonts w:asciiTheme="minorHAnsi" w:hAnsiTheme="minorHAnsi" w:cstheme="minorHAnsi"/>
          <w:b/>
          <w:bCs/>
          <w:sz w:val="22"/>
          <w:szCs w:val="22"/>
        </w:rPr>
        <w:t>XVII. Termin związania ofertą</w:t>
      </w:r>
      <w:bookmarkEnd w:id="43"/>
    </w:p>
    <w:p w14:paraId="68E3EA92" w14:textId="09A4AEB5"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AB45D6">
        <w:rPr>
          <w:rFonts w:asciiTheme="minorHAnsi" w:hAnsiTheme="minorHAnsi" w:cstheme="minorHAnsi"/>
          <w:b/>
          <w:bCs/>
          <w:highlight w:val="yellow"/>
        </w:rPr>
        <w:t>15</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AB45D6">
        <w:rPr>
          <w:rFonts w:asciiTheme="minorHAnsi" w:hAnsiTheme="minorHAnsi" w:cstheme="minorHAnsi"/>
          <w:b/>
          <w:bCs/>
          <w:highlight w:val="yellow"/>
        </w:rPr>
        <w:t>8</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4"/>
    </w:p>
    <w:p w14:paraId="31387002" w14:textId="1A2996E1"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3"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AB45D6">
        <w:rPr>
          <w:rFonts w:asciiTheme="minorHAnsi" w:hAnsiTheme="minorHAnsi" w:cstheme="minorHAnsi"/>
          <w:b/>
          <w:bCs/>
          <w:highlight w:val="yellow"/>
        </w:rPr>
        <w:t>1</w:t>
      </w:r>
      <w:r w:rsidR="00DA48CC">
        <w:rPr>
          <w:rFonts w:asciiTheme="minorHAnsi" w:hAnsiTheme="minorHAnsi" w:cstheme="minorHAnsi"/>
          <w:b/>
          <w:bCs/>
          <w:highlight w:val="yellow"/>
        </w:rPr>
        <w:t>7</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AB45D6">
        <w:rPr>
          <w:rFonts w:asciiTheme="minorHAnsi" w:hAnsiTheme="minorHAnsi" w:cstheme="minorHAnsi"/>
          <w:b/>
          <w:bCs/>
          <w:highlight w:val="yellow"/>
        </w:rPr>
        <w:t>7</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5">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6">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Toc135663031"/>
      <w:r w:rsidRPr="008870AA">
        <w:rPr>
          <w:rFonts w:asciiTheme="minorHAnsi" w:hAnsiTheme="minorHAnsi" w:cstheme="minorHAnsi"/>
          <w:b/>
          <w:bCs/>
          <w:sz w:val="22"/>
          <w:szCs w:val="22"/>
        </w:rPr>
        <w:t>XIX. Otwarcie ofert</w:t>
      </w:r>
      <w:bookmarkEnd w:id="45"/>
    </w:p>
    <w:p w14:paraId="792AD29B" w14:textId="48E8BE81"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AB45D6">
        <w:rPr>
          <w:rFonts w:asciiTheme="minorHAnsi" w:hAnsiTheme="minorHAnsi" w:cstheme="minorHAnsi"/>
          <w:b/>
          <w:bCs/>
          <w:highlight w:val="yellow"/>
        </w:rPr>
        <w:t>1</w:t>
      </w:r>
      <w:r w:rsidR="00DA48CC">
        <w:rPr>
          <w:rFonts w:asciiTheme="minorHAnsi" w:hAnsiTheme="minorHAnsi" w:cstheme="minorHAnsi"/>
          <w:b/>
          <w:bCs/>
          <w:highlight w:val="yellow"/>
        </w:rPr>
        <w:t>7</w:t>
      </w:r>
      <w:r w:rsidRPr="00BD054F">
        <w:rPr>
          <w:rFonts w:asciiTheme="minorHAnsi" w:hAnsiTheme="minorHAnsi" w:cstheme="minorHAnsi"/>
          <w:b/>
          <w:bCs/>
          <w:highlight w:val="yellow"/>
        </w:rPr>
        <w:t>.</w:t>
      </w:r>
      <w:r w:rsidR="00AB55B1">
        <w:rPr>
          <w:rFonts w:asciiTheme="minorHAnsi" w:hAnsiTheme="minorHAnsi" w:cstheme="minorHAnsi"/>
          <w:b/>
          <w:bCs/>
          <w:highlight w:val="yellow"/>
        </w:rPr>
        <w:t>0</w:t>
      </w:r>
      <w:r w:rsidR="00AB45D6">
        <w:rPr>
          <w:rFonts w:asciiTheme="minorHAnsi" w:hAnsiTheme="minorHAnsi" w:cstheme="minorHAnsi"/>
          <w:b/>
          <w:bCs/>
          <w:highlight w:val="yellow"/>
        </w:rPr>
        <w:t>7</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7">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6" w:name="_Toc135663032"/>
      <w:r w:rsidRPr="008870AA">
        <w:rPr>
          <w:rFonts w:asciiTheme="minorHAnsi" w:hAnsiTheme="minorHAnsi" w:cstheme="minorHAnsi"/>
          <w:b/>
          <w:bCs/>
          <w:sz w:val="24"/>
          <w:szCs w:val="24"/>
        </w:rPr>
        <w:t>XX. Opis kryteriów oceny ofert wraz z podaniem wag tych kryteriów i sposobu oceny ofert</w:t>
      </w:r>
      <w:bookmarkEnd w:id="46"/>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7"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lastRenderedPageBreak/>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2DAABE91"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FB0D07">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B7BB650"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FB0D07">
        <w:rPr>
          <w:rFonts w:asciiTheme="minorHAnsi" w:eastAsia="Times New Roman" w:hAnsiTheme="minorHAnsi" w:cstheme="minorHAnsi"/>
          <w:b/>
          <w:bCs/>
          <w:lang w:eastAsia="ar-SA"/>
        </w:rPr>
        <w:t>60</w:t>
      </w:r>
      <w:r w:rsidR="00717272">
        <w:rPr>
          <w:rFonts w:asciiTheme="minorHAnsi" w:eastAsia="Times New Roman" w:hAnsiTheme="minorHAnsi" w:cstheme="minorHAnsi"/>
          <w:b/>
          <w:bCs/>
          <w:lang w:eastAsia="ar-SA"/>
        </w:rPr>
        <w:t xml:space="preserve"> </w:t>
      </w:r>
      <w:r w:rsidRPr="008870AA">
        <w:rPr>
          <w:rFonts w:asciiTheme="minorHAnsi" w:eastAsia="Times New Roman" w:hAnsiTheme="minorHAnsi" w:cstheme="minorHAnsi"/>
          <w:b/>
          <w:bCs/>
          <w:lang w:eastAsia="ar-SA"/>
        </w:rPr>
        <w:t>miesi</w:t>
      </w:r>
      <w:r w:rsidR="00FB0D07">
        <w:rPr>
          <w:rFonts w:asciiTheme="minorHAnsi" w:eastAsia="Times New Roman" w:hAnsiTheme="minorHAnsi" w:cstheme="minorHAnsi"/>
          <w:b/>
          <w:bCs/>
          <w:lang w:eastAsia="ar-SA"/>
        </w:rPr>
        <w:t>ęcy.</w:t>
      </w:r>
    </w:p>
    <w:p w14:paraId="06B9708B" w14:textId="195EE5AF"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FB0D07">
        <w:rPr>
          <w:rFonts w:asciiTheme="minorHAnsi" w:eastAsia="Times New Roman" w:hAnsiTheme="minorHAnsi" w:cstheme="minorHAnsi"/>
          <w:lang w:eastAsia="ar-SA"/>
        </w:rPr>
        <w:t>60</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FB0D07">
        <w:rPr>
          <w:rFonts w:asciiTheme="minorHAnsi" w:eastAsia="Times New Roman" w:hAnsiTheme="minorHAnsi" w:cstheme="minorHAnsi"/>
          <w:lang w:eastAsia="ar-SA"/>
        </w:rPr>
        <w:t>60</w:t>
      </w:r>
      <w:r w:rsidR="00185337">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FB0D07">
        <w:rPr>
          <w:rFonts w:asciiTheme="minorHAnsi" w:eastAsia="Times New Roman" w:hAnsiTheme="minorHAnsi" w:cstheme="minorHAnsi"/>
          <w:lang w:eastAsia="ar-SA"/>
        </w:rPr>
        <w:t>ęcy.</w:t>
      </w:r>
    </w:p>
    <w:p w14:paraId="131F4A1C" w14:textId="3383C50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FB0D07">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7"/>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135663033"/>
      <w:r w:rsidRPr="008870AA">
        <w:rPr>
          <w:rFonts w:asciiTheme="minorHAnsi" w:hAnsiTheme="minorHAnsi" w:cstheme="minorHAnsi"/>
          <w:b/>
          <w:bCs/>
          <w:sz w:val="22"/>
          <w:szCs w:val="22"/>
        </w:rPr>
        <w:t>XXI. Wymagania dotyczące zabezpieczenia należytego wykonania umowy.</w:t>
      </w:r>
      <w:bookmarkEnd w:id="48"/>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9"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49"/>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0" w:name="_Toc135663035"/>
      <w:r w:rsidRPr="008870AA">
        <w:rPr>
          <w:rFonts w:asciiTheme="minorHAnsi" w:hAnsiTheme="minorHAnsi" w:cstheme="minorHAnsi"/>
          <w:b/>
          <w:bCs/>
          <w:sz w:val="24"/>
          <w:szCs w:val="24"/>
        </w:rPr>
        <w:t>XXIII. Informacje o treści zawieranej umowy oraz możliwości jej zmiany</w:t>
      </w:r>
      <w:bookmarkEnd w:id="50"/>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135663036"/>
      <w:r w:rsidRPr="008870AA">
        <w:rPr>
          <w:rFonts w:asciiTheme="minorHAnsi" w:hAnsiTheme="minorHAnsi" w:cstheme="minorHAnsi"/>
          <w:b/>
          <w:bCs/>
          <w:sz w:val="22"/>
          <w:szCs w:val="22"/>
        </w:rPr>
        <w:t>XXIV. Pouczenie o środkach ochrony prawnej przysługujących Wykonawcy</w:t>
      </w:r>
      <w:bookmarkEnd w:id="51"/>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uarrfy5kozla" w:colFirst="0" w:colLast="0"/>
      <w:bookmarkStart w:id="53" w:name="_Toc135663037"/>
      <w:bookmarkEnd w:id="52"/>
      <w:r w:rsidRPr="008870AA">
        <w:rPr>
          <w:rFonts w:asciiTheme="minorHAnsi" w:hAnsiTheme="minorHAnsi" w:cstheme="minorHAnsi"/>
          <w:b/>
          <w:bCs/>
          <w:sz w:val="22"/>
          <w:szCs w:val="22"/>
        </w:rPr>
        <w:t>XXV. Spis załączników</w:t>
      </w:r>
      <w:bookmarkEnd w:id="53"/>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lastRenderedPageBreak/>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7BA0F29B"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p>
    <w:sectPr w:rsidR="001A6830" w:rsidSect="000C77A6">
      <w:headerReference w:type="default" r:id="rId48"/>
      <w:footerReference w:type="default" r:id="rId49"/>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646C" w14:textId="77777777" w:rsidR="00125671" w:rsidRDefault="00125671" w:rsidP="008870AA">
      <w:pPr>
        <w:spacing w:line="240" w:lineRule="auto"/>
      </w:pPr>
      <w:r>
        <w:separator/>
      </w:r>
    </w:p>
  </w:endnote>
  <w:endnote w:type="continuationSeparator" w:id="0">
    <w:p w14:paraId="2928C35B" w14:textId="77777777" w:rsidR="00125671" w:rsidRDefault="00125671"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99E6" w14:textId="77777777" w:rsidR="00125671" w:rsidRDefault="00125671" w:rsidP="008870AA">
      <w:pPr>
        <w:spacing w:line="240" w:lineRule="auto"/>
      </w:pPr>
      <w:r>
        <w:separator/>
      </w:r>
    </w:p>
  </w:footnote>
  <w:footnote w:type="continuationSeparator" w:id="0">
    <w:p w14:paraId="2F7E2D6A" w14:textId="77777777" w:rsidR="00125671" w:rsidRDefault="00125671"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35EE5390"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B218C0">
      <w:rPr>
        <w:rFonts w:asciiTheme="minorHAnsi" w:hAnsiTheme="minorHAnsi" w:cstheme="minorHAnsi"/>
        <w:sz w:val="20"/>
        <w:szCs w:val="20"/>
      </w:rPr>
      <w:t>11</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5"/>
  </w:num>
  <w:num w:numId="2" w16cid:durableId="1069309242">
    <w:abstractNumId w:val="14"/>
  </w:num>
  <w:num w:numId="3" w16cid:durableId="1151558694">
    <w:abstractNumId w:val="1"/>
  </w:num>
  <w:num w:numId="4" w16cid:durableId="2121146668">
    <w:abstractNumId w:val="37"/>
  </w:num>
  <w:num w:numId="5" w16cid:durableId="2021153379">
    <w:abstractNumId w:val="27"/>
  </w:num>
  <w:num w:numId="6" w16cid:durableId="74474843">
    <w:abstractNumId w:val="36"/>
  </w:num>
  <w:num w:numId="7" w16cid:durableId="378820442">
    <w:abstractNumId w:val="33"/>
  </w:num>
  <w:num w:numId="8" w16cid:durableId="1056702684">
    <w:abstractNumId w:val="25"/>
  </w:num>
  <w:num w:numId="9" w16cid:durableId="1452360499">
    <w:abstractNumId w:val="11"/>
  </w:num>
  <w:num w:numId="10" w16cid:durableId="111361321">
    <w:abstractNumId w:val="15"/>
  </w:num>
  <w:num w:numId="11" w16cid:durableId="2896665">
    <w:abstractNumId w:val="31"/>
  </w:num>
  <w:num w:numId="12" w16cid:durableId="1527327384">
    <w:abstractNumId w:val="0"/>
  </w:num>
  <w:num w:numId="13" w16cid:durableId="304244796">
    <w:abstractNumId w:val="32"/>
  </w:num>
  <w:num w:numId="14" w16cid:durableId="658389321">
    <w:abstractNumId w:val="26"/>
  </w:num>
  <w:num w:numId="15" w16cid:durableId="157310783">
    <w:abstractNumId w:val="20"/>
  </w:num>
  <w:num w:numId="16" w16cid:durableId="1423138143">
    <w:abstractNumId w:val="17"/>
  </w:num>
  <w:num w:numId="17" w16cid:durableId="231618385">
    <w:abstractNumId w:val="16"/>
  </w:num>
  <w:num w:numId="18" w16cid:durableId="1233926928">
    <w:abstractNumId w:val="21"/>
  </w:num>
  <w:num w:numId="19" w16cid:durableId="355271092">
    <w:abstractNumId w:val="24"/>
  </w:num>
  <w:num w:numId="20" w16cid:durableId="1933928054">
    <w:abstractNumId w:val="34"/>
  </w:num>
  <w:num w:numId="21" w16cid:durableId="1524703767">
    <w:abstractNumId w:val="22"/>
  </w:num>
  <w:num w:numId="22" w16cid:durableId="418672938">
    <w:abstractNumId w:val="7"/>
  </w:num>
  <w:num w:numId="23" w16cid:durableId="162278437">
    <w:abstractNumId w:val="8"/>
  </w:num>
  <w:num w:numId="24" w16cid:durableId="1922175906">
    <w:abstractNumId w:val="10"/>
  </w:num>
  <w:num w:numId="25" w16cid:durableId="1276905784">
    <w:abstractNumId w:val="3"/>
  </w:num>
  <w:num w:numId="26" w16cid:durableId="1724212298">
    <w:abstractNumId w:val="19"/>
  </w:num>
  <w:num w:numId="27" w16cid:durableId="991101479">
    <w:abstractNumId w:val="12"/>
  </w:num>
  <w:num w:numId="28" w16cid:durableId="1957367239">
    <w:abstractNumId w:val="30"/>
  </w:num>
  <w:num w:numId="29" w16cid:durableId="951744024">
    <w:abstractNumId w:val="13"/>
  </w:num>
  <w:num w:numId="30" w16cid:durableId="655188542">
    <w:abstractNumId w:val="2"/>
  </w:num>
  <w:num w:numId="31" w16cid:durableId="1107509289">
    <w:abstractNumId w:val="6"/>
  </w:num>
  <w:num w:numId="32" w16cid:durableId="791050100">
    <w:abstractNumId w:val="35"/>
  </w:num>
  <w:num w:numId="33" w16cid:durableId="5358969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8"/>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8"/>
  </w:num>
  <w:num w:numId="39" w16cid:durableId="781387141">
    <w:abstractNumId w:val="28"/>
  </w:num>
  <w:num w:numId="40" w16cid:durableId="4438140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91A43"/>
    <w:rsid w:val="00094A07"/>
    <w:rsid w:val="000A6AF4"/>
    <w:rsid w:val="000B62AF"/>
    <w:rsid w:val="000C69D0"/>
    <w:rsid w:val="000C77A6"/>
    <w:rsid w:val="000D14A1"/>
    <w:rsid w:val="000D21F3"/>
    <w:rsid w:val="000D60C2"/>
    <w:rsid w:val="000E0261"/>
    <w:rsid w:val="000E0A1D"/>
    <w:rsid w:val="000E7830"/>
    <w:rsid w:val="000F0749"/>
    <w:rsid w:val="00101F71"/>
    <w:rsid w:val="00103E65"/>
    <w:rsid w:val="00107067"/>
    <w:rsid w:val="00107238"/>
    <w:rsid w:val="0011106D"/>
    <w:rsid w:val="00112736"/>
    <w:rsid w:val="00113D06"/>
    <w:rsid w:val="00120BB0"/>
    <w:rsid w:val="00125671"/>
    <w:rsid w:val="00135555"/>
    <w:rsid w:val="001478A7"/>
    <w:rsid w:val="00156AF4"/>
    <w:rsid w:val="001677B3"/>
    <w:rsid w:val="00170CAC"/>
    <w:rsid w:val="00175D4F"/>
    <w:rsid w:val="001767F9"/>
    <w:rsid w:val="0018087F"/>
    <w:rsid w:val="0018210F"/>
    <w:rsid w:val="00185337"/>
    <w:rsid w:val="001A0570"/>
    <w:rsid w:val="001A6830"/>
    <w:rsid w:val="001B3328"/>
    <w:rsid w:val="001B3CB2"/>
    <w:rsid w:val="001B7876"/>
    <w:rsid w:val="001C0A5A"/>
    <w:rsid w:val="001C1D23"/>
    <w:rsid w:val="001F181C"/>
    <w:rsid w:val="001F2FF1"/>
    <w:rsid w:val="001F7C00"/>
    <w:rsid w:val="00204865"/>
    <w:rsid w:val="00210F2B"/>
    <w:rsid w:val="00217B83"/>
    <w:rsid w:val="00220671"/>
    <w:rsid w:val="0022393E"/>
    <w:rsid w:val="00230688"/>
    <w:rsid w:val="002331FE"/>
    <w:rsid w:val="00235E15"/>
    <w:rsid w:val="002401B6"/>
    <w:rsid w:val="002411C2"/>
    <w:rsid w:val="00245D88"/>
    <w:rsid w:val="0026506F"/>
    <w:rsid w:val="002864F5"/>
    <w:rsid w:val="002871A3"/>
    <w:rsid w:val="00292820"/>
    <w:rsid w:val="00296A44"/>
    <w:rsid w:val="00297766"/>
    <w:rsid w:val="002A54B4"/>
    <w:rsid w:val="002B6FFB"/>
    <w:rsid w:val="002D15D6"/>
    <w:rsid w:val="002D4F56"/>
    <w:rsid w:val="002D6811"/>
    <w:rsid w:val="002E39C4"/>
    <w:rsid w:val="0030371C"/>
    <w:rsid w:val="00304225"/>
    <w:rsid w:val="00310EE6"/>
    <w:rsid w:val="00311772"/>
    <w:rsid w:val="00311B20"/>
    <w:rsid w:val="00320FE1"/>
    <w:rsid w:val="00323450"/>
    <w:rsid w:val="00336B79"/>
    <w:rsid w:val="00346693"/>
    <w:rsid w:val="00351585"/>
    <w:rsid w:val="00360B09"/>
    <w:rsid w:val="003612D8"/>
    <w:rsid w:val="00361462"/>
    <w:rsid w:val="00392D2A"/>
    <w:rsid w:val="00393083"/>
    <w:rsid w:val="003A2033"/>
    <w:rsid w:val="003A65C0"/>
    <w:rsid w:val="003B0BF4"/>
    <w:rsid w:val="003B3F16"/>
    <w:rsid w:val="003B634F"/>
    <w:rsid w:val="003B63AC"/>
    <w:rsid w:val="003B7459"/>
    <w:rsid w:val="003D4692"/>
    <w:rsid w:val="003D56D2"/>
    <w:rsid w:val="003D7BB7"/>
    <w:rsid w:val="003E0CA5"/>
    <w:rsid w:val="003E39FC"/>
    <w:rsid w:val="003E3E74"/>
    <w:rsid w:val="003E3F0B"/>
    <w:rsid w:val="003E4313"/>
    <w:rsid w:val="00403F6A"/>
    <w:rsid w:val="004261AA"/>
    <w:rsid w:val="00435871"/>
    <w:rsid w:val="0043670B"/>
    <w:rsid w:val="00444A85"/>
    <w:rsid w:val="004467CF"/>
    <w:rsid w:val="004471EA"/>
    <w:rsid w:val="00467FDE"/>
    <w:rsid w:val="0047596C"/>
    <w:rsid w:val="00481C2E"/>
    <w:rsid w:val="00487D3D"/>
    <w:rsid w:val="00494791"/>
    <w:rsid w:val="004A3292"/>
    <w:rsid w:val="004B091D"/>
    <w:rsid w:val="004B7160"/>
    <w:rsid w:val="004B763E"/>
    <w:rsid w:val="004C26A5"/>
    <w:rsid w:val="004C6E37"/>
    <w:rsid w:val="004F7D33"/>
    <w:rsid w:val="00500A00"/>
    <w:rsid w:val="00504A46"/>
    <w:rsid w:val="00510FD9"/>
    <w:rsid w:val="00513E17"/>
    <w:rsid w:val="00527B61"/>
    <w:rsid w:val="00533BC3"/>
    <w:rsid w:val="0053564D"/>
    <w:rsid w:val="00544842"/>
    <w:rsid w:val="00545840"/>
    <w:rsid w:val="005641F4"/>
    <w:rsid w:val="00564C90"/>
    <w:rsid w:val="00567DD2"/>
    <w:rsid w:val="00587233"/>
    <w:rsid w:val="005950D5"/>
    <w:rsid w:val="00595D00"/>
    <w:rsid w:val="005A014E"/>
    <w:rsid w:val="005A2283"/>
    <w:rsid w:val="005A706C"/>
    <w:rsid w:val="005A738A"/>
    <w:rsid w:val="005B0E91"/>
    <w:rsid w:val="005B19AF"/>
    <w:rsid w:val="005C39DE"/>
    <w:rsid w:val="005D3A17"/>
    <w:rsid w:val="005E1D15"/>
    <w:rsid w:val="005F05D5"/>
    <w:rsid w:val="005F065A"/>
    <w:rsid w:val="005F0CA2"/>
    <w:rsid w:val="005F5E33"/>
    <w:rsid w:val="00607E2D"/>
    <w:rsid w:val="006101ED"/>
    <w:rsid w:val="006110C0"/>
    <w:rsid w:val="006208A2"/>
    <w:rsid w:val="00625026"/>
    <w:rsid w:val="00626D6B"/>
    <w:rsid w:val="0063784B"/>
    <w:rsid w:val="00640FE1"/>
    <w:rsid w:val="006506A6"/>
    <w:rsid w:val="00651680"/>
    <w:rsid w:val="006628D2"/>
    <w:rsid w:val="006709E7"/>
    <w:rsid w:val="0067157B"/>
    <w:rsid w:val="00677297"/>
    <w:rsid w:val="00680055"/>
    <w:rsid w:val="006939C2"/>
    <w:rsid w:val="006942A8"/>
    <w:rsid w:val="00697C0A"/>
    <w:rsid w:val="006A117A"/>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5473"/>
    <w:rsid w:val="007279C9"/>
    <w:rsid w:val="007333F8"/>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264E3"/>
    <w:rsid w:val="008350FA"/>
    <w:rsid w:val="00835CAF"/>
    <w:rsid w:val="00850178"/>
    <w:rsid w:val="00850910"/>
    <w:rsid w:val="0085093C"/>
    <w:rsid w:val="008509B7"/>
    <w:rsid w:val="00854EF6"/>
    <w:rsid w:val="00857B2A"/>
    <w:rsid w:val="00866103"/>
    <w:rsid w:val="0087614B"/>
    <w:rsid w:val="00876F85"/>
    <w:rsid w:val="008818FC"/>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922DDB"/>
    <w:rsid w:val="00926EF4"/>
    <w:rsid w:val="00927AEA"/>
    <w:rsid w:val="00927FBF"/>
    <w:rsid w:val="00930D2E"/>
    <w:rsid w:val="00931D79"/>
    <w:rsid w:val="00933941"/>
    <w:rsid w:val="009429AE"/>
    <w:rsid w:val="00942BB5"/>
    <w:rsid w:val="009442F2"/>
    <w:rsid w:val="00946128"/>
    <w:rsid w:val="0095038A"/>
    <w:rsid w:val="00951B67"/>
    <w:rsid w:val="00951EB6"/>
    <w:rsid w:val="00957171"/>
    <w:rsid w:val="0096065D"/>
    <w:rsid w:val="00960F1B"/>
    <w:rsid w:val="00972E16"/>
    <w:rsid w:val="0097434E"/>
    <w:rsid w:val="00987D24"/>
    <w:rsid w:val="00992BB2"/>
    <w:rsid w:val="009A234A"/>
    <w:rsid w:val="009A3EF9"/>
    <w:rsid w:val="009A4892"/>
    <w:rsid w:val="009A7910"/>
    <w:rsid w:val="009C66CF"/>
    <w:rsid w:val="009E1A40"/>
    <w:rsid w:val="009E1E89"/>
    <w:rsid w:val="009E7094"/>
    <w:rsid w:val="009F1359"/>
    <w:rsid w:val="009F5D8E"/>
    <w:rsid w:val="009F61EF"/>
    <w:rsid w:val="00A55B7B"/>
    <w:rsid w:val="00A60262"/>
    <w:rsid w:val="00A6491C"/>
    <w:rsid w:val="00A65A72"/>
    <w:rsid w:val="00A67070"/>
    <w:rsid w:val="00A83A63"/>
    <w:rsid w:val="00A849BC"/>
    <w:rsid w:val="00A913DE"/>
    <w:rsid w:val="00A94A09"/>
    <w:rsid w:val="00AB1B91"/>
    <w:rsid w:val="00AB45D6"/>
    <w:rsid w:val="00AB55B1"/>
    <w:rsid w:val="00AB79A9"/>
    <w:rsid w:val="00AB7F95"/>
    <w:rsid w:val="00AC04F9"/>
    <w:rsid w:val="00AE256A"/>
    <w:rsid w:val="00AF1F40"/>
    <w:rsid w:val="00AF25CE"/>
    <w:rsid w:val="00AF36E0"/>
    <w:rsid w:val="00AF5291"/>
    <w:rsid w:val="00AF5BC6"/>
    <w:rsid w:val="00B009C7"/>
    <w:rsid w:val="00B01BAA"/>
    <w:rsid w:val="00B02E9C"/>
    <w:rsid w:val="00B062F4"/>
    <w:rsid w:val="00B14625"/>
    <w:rsid w:val="00B218C0"/>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909EA"/>
    <w:rsid w:val="00BA017F"/>
    <w:rsid w:val="00BA1306"/>
    <w:rsid w:val="00BA2F84"/>
    <w:rsid w:val="00BA66DB"/>
    <w:rsid w:val="00BC3B96"/>
    <w:rsid w:val="00BC757C"/>
    <w:rsid w:val="00BD054F"/>
    <w:rsid w:val="00BD2813"/>
    <w:rsid w:val="00BD391E"/>
    <w:rsid w:val="00BE00C3"/>
    <w:rsid w:val="00BE50CB"/>
    <w:rsid w:val="00BF1623"/>
    <w:rsid w:val="00BF35CA"/>
    <w:rsid w:val="00C005FF"/>
    <w:rsid w:val="00C01043"/>
    <w:rsid w:val="00C04FFE"/>
    <w:rsid w:val="00C17059"/>
    <w:rsid w:val="00C23C83"/>
    <w:rsid w:val="00C25D6C"/>
    <w:rsid w:val="00C27963"/>
    <w:rsid w:val="00C27F9F"/>
    <w:rsid w:val="00C34DDD"/>
    <w:rsid w:val="00C354B1"/>
    <w:rsid w:val="00C355D9"/>
    <w:rsid w:val="00C37C2B"/>
    <w:rsid w:val="00C448E0"/>
    <w:rsid w:val="00C52FA2"/>
    <w:rsid w:val="00C53D48"/>
    <w:rsid w:val="00C61848"/>
    <w:rsid w:val="00C64A36"/>
    <w:rsid w:val="00C7070E"/>
    <w:rsid w:val="00C73612"/>
    <w:rsid w:val="00C73B66"/>
    <w:rsid w:val="00C74CD2"/>
    <w:rsid w:val="00C75CB3"/>
    <w:rsid w:val="00C7798A"/>
    <w:rsid w:val="00C80A15"/>
    <w:rsid w:val="00C95398"/>
    <w:rsid w:val="00CA227A"/>
    <w:rsid w:val="00CA578B"/>
    <w:rsid w:val="00CB0E3C"/>
    <w:rsid w:val="00CB6C27"/>
    <w:rsid w:val="00CC779D"/>
    <w:rsid w:val="00CD3832"/>
    <w:rsid w:val="00CD3D7F"/>
    <w:rsid w:val="00CD6136"/>
    <w:rsid w:val="00CE2408"/>
    <w:rsid w:val="00CE36EF"/>
    <w:rsid w:val="00CE4B42"/>
    <w:rsid w:val="00CE4C17"/>
    <w:rsid w:val="00CF259D"/>
    <w:rsid w:val="00CF3094"/>
    <w:rsid w:val="00CF7362"/>
    <w:rsid w:val="00D03FB4"/>
    <w:rsid w:val="00D116A6"/>
    <w:rsid w:val="00D11D1D"/>
    <w:rsid w:val="00D20B1F"/>
    <w:rsid w:val="00D22051"/>
    <w:rsid w:val="00D23899"/>
    <w:rsid w:val="00D301BD"/>
    <w:rsid w:val="00D32893"/>
    <w:rsid w:val="00D35176"/>
    <w:rsid w:val="00D420DA"/>
    <w:rsid w:val="00D5684A"/>
    <w:rsid w:val="00D60AB1"/>
    <w:rsid w:val="00D60D12"/>
    <w:rsid w:val="00D61D92"/>
    <w:rsid w:val="00D64F65"/>
    <w:rsid w:val="00D66130"/>
    <w:rsid w:val="00D739E9"/>
    <w:rsid w:val="00D9438C"/>
    <w:rsid w:val="00D95E68"/>
    <w:rsid w:val="00DA48CC"/>
    <w:rsid w:val="00DC1E52"/>
    <w:rsid w:val="00DC7156"/>
    <w:rsid w:val="00DE365A"/>
    <w:rsid w:val="00E025ED"/>
    <w:rsid w:val="00E129F4"/>
    <w:rsid w:val="00E147BC"/>
    <w:rsid w:val="00E24987"/>
    <w:rsid w:val="00E31ECE"/>
    <w:rsid w:val="00E36E74"/>
    <w:rsid w:val="00E36ECF"/>
    <w:rsid w:val="00E40F1A"/>
    <w:rsid w:val="00E41824"/>
    <w:rsid w:val="00E51A42"/>
    <w:rsid w:val="00E563E1"/>
    <w:rsid w:val="00E603A7"/>
    <w:rsid w:val="00E621AC"/>
    <w:rsid w:val="00E84AFF"/>
    <w:rsid w:val="00E9033F"/>
    <w:rsid w:val="00EC4BE3"/>
    <w:rsid w:val="00EC6369"/>
    <w:rsid w:val="00ED0E75"/>
    <w:rsid w:val="00ED55A0"/>
    <w:rsid w:val="00ED702C"/>
    <w:rsid w:val="00EE0719"/>
    <w:rsid w:val="00EE12EC"/>
    <w:rsid w:val="00EE44B6"/>
    <w:rsid w:val="00EE6DEB"/>
    <w:rsid w:val="00EF0373"/>
    <w:rsid w:val="00F01449"/>
    <w:rsid w:val="00F016E3"/>
    <w:rsid w:val="00F13C47"/>
    <w:rsid w:val="00F150DD"/>
    <w:rsid w:val="00F15A45"/>
    <w:rsid w:val="00F208F9"/>
    <w:rsid w:val="00F24D6E"/>
    <w:rsid w:val="00F25413"/>
    <w:rsid w:val="00F372A1"/>
    <w:rsid w:val="00F40D0E"/>
    <w:rsid w:val="00F41AE2"/>
    <w:rsid w:val="00F46E9A"/>
    <w:rsid w:val="00F51FFB"/>
    <w:rsid w:val="00F52BD2"/>
    <w:rsid w:val="00F53ECA"/>
    <w:rsid w:val="00F57FA2"/>
    <w:rsid w:val="00F802B1"/>
    <w:rsid w:val="00F86CE1"/>
    <w:rsid w:val="00F87BDC"/>
    <w:rsid w:val="00FA4897"/>
    <w:rsid w:val="00FA554C"/>
    <w:rsid w:val="00FA5986"/>
    <w:rsid w:val="00FA7D48"/>
    <w:rsid w:val="00FB0D07"/>
    <w:rsid w:val="00FC1487"/>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33210105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magdalena.pawlicka@dopiewo.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dopiewo" TargetMode="External"/><Relationship Id="rId48" Type="http://schemas.openxmlformats.org/officeDocument/2006/relationships/header" Target="header1.xml"/><Relationship Id="rId8" Type="http://schemas.openxmlformats.org/officeDocument/2006/relationships/hyperlink" Target="https://bip.dopiewo.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opiewo"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2308</TotalTime>
  <Pages>27</Pages>
  <Words>11345</Words>
  <Characters>68071</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232</cp:revision>
  <cp:lastPrinted>2023-05-23T12:43:00Z</cp:lastPrinted>
  <dcterms:created xsi:type="dcterms:W3CDTF">2021-12-01T12:49:00Z</dcterms:created>
  <dcterms:modified xsi:type="dcterms:W3CDTF">2023-06-30T11:19:00Z</dcterms:modified>
</cp:coreProperties>
</file>