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81073" w14:textId="288DC3DC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B2D25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/I</w:t>
      </w:r>
      <w:r w:rsidR="002B2D25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247C0BE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2B2D25" w:rsidRPr="002B2D25">
        <w:rPr>
          <w:rFonts w:cs="Arial"/>
          <w:b/>
          <w:bCs/>
          <w:szCs w:val="24"/>
        </w:rPr>
        <w:t>Doświetlenie przejść dla pieszych w ciągu ulicy: Czerwonego Prądnika – Brogi w Krakowie, w ramach programu budowy sygnalizacji świetlnych oraz doświetleń przejść dla pieszych, oraz innych elementów</w:t>
      </w:r>
      <w:r w:rsidR="002B2D25">
        <w:rPr>
          <w:rFonts w:cs="Arial"/>
          <w:b/>
          <w:bCs/>
          <w:szCs w:val="24"/>
        </w:rPr>
        <w:t xml:space="preserve"> bezpieczeństwa ruchu drogowego</w:t>
      </w:r>
      <w:bookmarkStart w:id="0" w:name="_GoBack"/>
      <w:bookmarkEnd w:id="0"/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2B2D25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B2D25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2023-04-14T06:24:00Z</dcterms:created>
  <dcterms:modified xsi:type="dcterms:W3CDTF">2023-04-14T06:24:00Z</dcterms:modified>
</cp:coreProperties>
</file>