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1402" w14:textId="7B1F0079" w:rsidR="007268C6" w:rsidRPr="00821905" w:rsidRDefault="007268C6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/>
          <w:spacing w:val="20"/>
          <w:sz w:val="24"/>
          <w:szCs w:val="24"/>
        </w:rPr>
        <w:tab/>
      </w:r>
      <w:r w:rsidRPr="00821905">
        <w:rPr>
          <w:rFonts w:cstheme="minorHAnsi"/>
          <w:bCs/>
          <w:spacing w:val="20"/>
          <w:sz w:val="24"/>
          <w:szCs w:val="24"/>
        </w:rPr>
        <w:t>Sandomierz</w:t>
      </w:r>
      <w:r w:rsidR="00967C95" w:rsidRPr="00821905">
        <w:rPr>
          <w:rFonts w:cstheme="minorHAnsi"/>
          <w:bCs/>
          <w:spacing w:val="20"/>
          <w:sz w:val="24"/>
          <w:szCs w:val="24"/>
        </w:rPr>
        <w:t xml:space="preserve">, </w:t>
      </w:r>
      <w:r w:rsidR="00E436AA" w:rsidRPr="00821905">
        <w:rPr>
          <w:rFonts w:cstheme="minorHAnsi"/>
          <w:bCs/>
          <w:spacing w:val="20"/>
          <w:sz w:val="24"/>
          <w:szCs w:val="24"/>
        </w:rPr>
        <w:t>2021-09</w:t>
      </w:r>
      <w:r w:rsidRPr="00821905">
        <w:rPr>
          <w:rFonts w:cstheme="minorHAnsi"/>
          <w:bCs/>
          <w:spacing w:val="20"/>
          <w:sz w:val="24"/>
          <w:szCs w:val="24"/>
        </w:rPr>
        <w:t>-</w:t>
      </w:r>
      <w:r w:rsidR="00E436AA" w:rsidRPr="00821905">
        <w:rPr>
          <w:rFonts w:cstheme="minorHAnsi"/>
          <w:bCs/>
          <w:spacing w:val="20"/>
          <w:sz w:val="24"/>
          <w:szCs w:val="24"/>
        </w:rPr>
        <w:t>13</w:t>
      </w:r>
    </w:p>
    <w:p w14:paraId="223B3FA2" w14:textId="649FD0DA" w:rsidR="007268C6" w:rsidRPr="00821905" w:rsidRDefault="007268C6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5604F873" w14:textId="3405FBF6" w:rsidR="007268C6" w:rsidRPr="00821905" w:rsidRDefault="007268C6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2C4B1440" w14:textId="0C41CA08" w:rsidR="007268C6" w:rsidRPr="00821905" w:rsidRDefault="007268C6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5D5F93B4" w14:textId="77777777" w:rsidR="00A83665" w:rsidRPr="00821905" w:rsidRDefault="00A83665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07E611EB" w14:textId="2BC4ABA2" w:rsidR="00F377F7" w:rsidRPr="00821905" w:rsidRDefault="00266E6E" w:rsidP="00821905">
      <w:pPr>
        <w:spacing w:after="0" w:line="360" w:lineRule="auto"/>
        <w:ind w:left="4962"/>
        <w:rPr>
          <w:rFonts w:cstheme="minorHAnsi"/>
          <w:b/>
          <w:spacing w:val="20"/>
          <w:sz w:val="24"/>
          <w:szCs w:val="24"/>
        </w:rPr>
      </w:pPr>
      <w:r w:rsidRPr="00821905">
        <w:rPr>
          <w:rFonts w:cstheme="minorHAnsi"/>
          <w:b/>
          <w:spacing w:val="20"/>
          <w:sz w:val="24"/>
          <w:szCs w:val="24"/>
        </w:rPr>
        <w:t>W</w:t>
      </w:r>
      <w:r w:rsidR="00F377F7" w:rsidRPr="00821905">
        <w:rPr>
          <w:rFonts w:cstheme="minorHAnsi"/>
          <w:b/>
          <w:spacing w:val="20"/>
          <w:sz w:val="24"/>
          <w:szCs w:val="24"/>
        </w:rPr>
        <w:t xml:space="preserve">ykonawcy </w:t>
      </w:r>
      <w:r w:rsidR="00786FBD" w:rsidRPr="00821905">
        <w:rPr>
          <w:rFonts w:cstheme="minorHAnsi"/>
          <w:b/>
          <w:spacing w:val="20"/>
          <w:sz w:val="24"/>
          <w:szCs w:val="24"/>
        </w:rPr>
        <w:t xml:space="preserve">biorący udział </w:t>
      </w:r>
      <w:r w:rsidRPr="00821905">
        <w:rPr>
          <w:rFonts w:cstheme="minorHAnsi"/>
          <w:b/>
          <w:spacing w:val="20"/>
          <w:sz w:val="24"/>
          <w:szCs w:val="24"/>
        </w:rPr>
        <w:br/>
      </w:r>
      <w:r w:rsidR="00786FBD" w:rsidRPr="00821905">
        <w:rPr>
          <w:rFonts w:cstheme="minorHAnsi"/>
          <w:b/>
          <w:spacing w:val="20"/>
          <w:sz w:val="24"/>
          <w:szCs w:val="24"/>
        </w:rPr>
        <w:t>w post</w:t>
      </w:r>
      <w:r w:rsidRPr="00821905">
        <w:rPr>
          <w:rFonts w:cstheme="minorHAnsi"/>
          <w:b/>
          <w:spacing w:val="20"/>
          <w:sz w:val="24"/>
          <w:szCs w:val="24"/>
        </w:rPr>
        <w:t>ę</w:t>
      </w:r>
      <w:r w:rsidR="00786FBD" w:rsidRPr="00821905">
        <w:rPr>
          <w:rFonts w:cstheme="minorHAnsi"/>
          <w:b/>
          <w:spacing w:val="20"/>
          <w:sz w:val="24"/>
          <w:szCs w:val="24"/>
        </w:rPr>
        <w:t xml:space="preserve">powaniu </w:t>
      </w:r>
    </w:p>
    <w:p w14:paraId="56CC42A1" w14:textId="75250CAD" w:rsidR="00F377F7" w:rsidRPr="00821905" w:rsidRDefault="00F377F7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06E47502" w14:textId="77777777" w:rsidR="005E744E" w:rsidRPr="00821905" w:rsidRDefault="005E744E" w:rsidP="00821905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67F75EA1" w14:textId="1308A43F" w:rsidR="00E436AA" w:rsidRPr="00821905" w:rsidRDefault="007268C6" w:rsidP="00821905">
      <w:pPr>
        <w:pStyle w:val="Akapitzlist"/>
        <w:autoSpaceDE w:val="0"/>
        <w:spacing w:line="360" w:lineRule="auto"/>
        <w:ind w:left="284"/>
        <w:rPr>
          <w:rFonts w:eastAsiaTheme="minorEastAsia" w:cstheme="minorHAnsi"/>
          <w:b/>
          <w:iCs/>
          <w:color w:val="000000" w:themeColor="text1"/>
          <w:spacing w:val="20"/>
          <w:sz w:val="24"/>
          <w:szCs w:val="24"/>
          <w:lang w:eastAsia="pl-PL"/>
        </w:rPr>
      </w:pPr>
      <w:r w:rsidRPr="00821905">
        <w:rPr>
          <w:rFonts w:cstheme="minorHAnsi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821905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pkt. 1 ustawy z dnia 11 września 2019</w:t>
      </w:r>
      <w:r w:rsidR="00E042C9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r. Prawo zamówień publicznych (</w:t>
      </w:r>
      <w:proofErr w:type="spellStart"/>
      <w:r w:rsidR="00E042C9" w:rsidRPr="00821905">
        <w:rPr>
          <w:rFonts w:eastAsia="Times New Roman" w:cstheme="minorHAnsi"/>
          <w:spacing w:val="20"/>
          <w:sz w:val="24"/>
          <w:szCs w:val="24"/>
          <w:lang w:eastAsia="pl-PL"/>
        </w:rPr>
        <w:t>t.j</w:t>
      </w:r>
      <w:proofErr w:type="spellEnd"/>
      <w:r w:rsidR="00E042C9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. Dz. U. 2021 r. poz. 1129 ze zm.), </w:t>
      </w:r>
      <w:r w:rsidRPr="00821905">
        <w:rPr>
          <w:rFonts w:cstheme="minorHAnsi"/>
          <w:spacing w:val="20"/>
          <w:sz w:val="24"/>
          <w:szCs w:val="24"/>
        </w:rPr>
        <w:t xml:space="preserve"> na zadanie pn.:</w:t>
      </w:r>
      <w:bookmarkEnd w:id="1"/>
      <w:r w:rsidRPr="00821905">
        <w:rPr>
          <w:rFonts w:cstheme="minorHAnsi"/>
          <w:spacing w:val="20"/>
          <w:sz w:val="24"/>
          <w:szCs w:val="24"/>
        </w:rPr>
        <w:t xml:space="preserve"> </w:t>
      </w:r>
      <w:bookmarkStart w:id="3" w:name="_Hlk64878698"/>
      <w:r w:rsidR="00E436AA" w:rsidRPr="00821905">
        <w:rPr>
          <w:rFonts w:eastAsiaTheme="minorEastAsia" w:cstheme="minorHAnsi"/>
          <w:b/>
          <w:iCs/>
          <w:color w:val="000000" w:themeColor="text1"/>
          <w:spacing w:val="20"/>
          <w:sz w:val="24"/>
          <w:szCs w:val="24"/>
          <w:lang w:eastAsia="pl-PL"/>
        </w:rPr>
        <w:t xml:space="preserve">„Budowa budynku mieszkalnego wielorodzinnego”. </w:t>
      </w:r>
    </w:p>
    <w:p w14:paraId="04ED9AF8" w14:textId="77777777" w:rsidR="00E436AA" w:rsidRPr="00821905" w:rsidRDefault="00E436AA" w:rsidP="00821905">
      <w:pPr>
        <w:pStyle w:val="Akapitzlist"/>
        <w:autoSpaceDE w:val="0"/>
        <w:spacing w:line="360" w:lineRule="auto"/>
        <w:ind w:left="284"/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</w:pPr>
      <w:r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  <w:t>Zadanie polega na budowie budynku mieszkalnego położonego w Sandomierzu przy ul. Lubelskiej, w wyniku którego powstanie 27 lokali mieszkalnych wchodzących w skład mieszkaniowego zasobu gminy o łącznej powierzchni użytkowej 829,54m</w:t>
      </w:r>
      <w:r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vertAlign w:val="superscript"/>
          <w:lang w:eastAsia="pl-PL"/>
        </w:rPr>
        <w:t>2</w:t>
      </w:r>
      <w:r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  <w:t>.</w:t>
      </w:r>
      <w:bookmarkStart w:id="4" w:name="_Hlk78203215"/>
    </w:p>
    <w:p w14:paraId="5BDDBEAC" w14:textId="17EB071D" w:rsidR="00E436AA" w:rsidRPr="00821905" w:rsidRDefault="00E436AA" w:rsidP="00821905">
      <w:pPr>
        <w:pStyle w:val="Akapitzlist"/>
        <w:autoSpaceDE w:val="0"/>
        <w:spacing w:line="360" w:lineRule="auto"/>
        <w:ind w:left="284"/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</w:pPr>
      <w:r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  <w:t>Zadanie realizowane z udziałem wsparcia finansowego z Funduszu Dopłat w Banku Gospodarstwa Krajowego zasilanego środkami z budżetu państwa w ramach rządowego programu bezzwrotnego wsparcia budownictwa mieszkaniowego, nr sprawy:RZP</w:t>
      </w:r>
      <w:r w:rsidR="00E042C9"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  <w:t>.271.1.7</w:t>
      </w:r>
      <w:r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  <w:t>.2021.</w:t>
      </w:r>
      <w:r w:rsidR="00E042C9" w:rsidRPr="00821905">
        <w:rPr>
          <w:rFonts w:eastAsiaTheme="minorEastAsia" w:cstheme="minorHAnsi"/>
          <w:iCs/>
          <w:color w:val="000000" w:themeColor="text1"/>
          <w:spacing w:val="20"/>
          <w:sz w:val="24"/>
          <w:szCs w:val="24"/>
          <w:lang w:eastAsia="pl-PL"/>
        </w:rPr>
        <w:t>WSL</w:t>
      </w:r>
    </w:p>
    <w:bookmarkEnd w:id="4"/>
    <w:p w14:paraId="64E8B9BA" w14:textId="77777777" w:rsidR="00E436AA" w:rsidRPr="00821905" w:rsidRDefault="00E436AA" w:rsidP="00821905">
      <w:pPr>
        <w:autoSpaceDE w:val="0"/>
        <w:spacing w:line="360" w:lineRule="auto"/>
        <w:ind w:left="284"/>
        <w:contextualSpacing/>
        <w:rPr>
          <w:rFonts w:eastAsiaTheme="minorEastAsia" w:cstheme="minorHAnsi"/>
          <w:i/>
          <w:iCs/>
          <w:color w:val="000000" w:themeColor="text1"/>
          <w:spacing w:val="20"/>
          <w:sz w:val="24"/>
          <w:szCs w:val="24"/>
          <w:lang w:eastAsia="pl-PL"/>
        </w:rPr>
      </w:pPr>
    </w:p>
    <w:bookmarkEnd w:id="3"/>
    <w:bookmarkEnd w:id="2"/>
    <w:p w14:paraId="3E5199C0" w14:textId="77777777" w:rsidR="005E744E" w:rsidRPr="00821905" w:rsidRDefault="005E744E" w:rsidP="00821905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ACDC776" w14:textId="6730F275" w:rsidR="007268C6" w:rsidRPr="00821905" w:rsidRDefault="00A83665" w:rsidP="00821905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</w:t>
      </w:r>
      <w:r w:rsidR="007268C6"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yjaśnieni</w:t>
      </w:r>
      <w:r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e</w:t>
      </w:r>
      <w:r w:rsidR="00ED3808"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</w:t>
      </w:r>
      <w:r w:rsidR="007268C6"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zapisów treści</w:t>
      </w:r>
    </w:p>
    <w:p w14:paraId="3369C938" w14:textId="7B14BF94" w:rsidR="007268C6" w:rsidRPr="00821905" w:rsidRDefault="007268C6" w:rsidP="00821905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5B8423CE" w:rsidR="007268C6" w:rsidRPr="00821905" w:rsidRDefault="007268C6" w:rsidP="00821905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11B3A8B3" w14:textId="77777777" w:rsidR="00967C95" w:rsidRPr="00821905" w:rsidRDefault="00967C95" w:rsidP="00821905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71510AD" w14:textId="1F9B90CA" w:rsidR="007268C6" w:rsidRPr="00821905" w:rsidRDefault="00FC5A44" w:rsidP="00821905">
      <w:pPr>
        <w:spacing w:after="0" w:line="360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</w:t>
      </w:r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284 ust. 2 </w:t>
      </w:r>
      <w:r w:rsidR="00967C95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i 6 </w:t>
      </w:r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>ustawy z dnia 11 września 2019 r. Prawo zamówień publicznych (</w:t>
      </w:r>
      <w:proofErr w:type="spellStart"/>
      <w:r w:rsidR="00E436AA" w:rsidRPr="00821905">
        <w:rPr>
          <w:rFonts w:eastAsia="Times New Roman" w:cstheme="minorHAnsi"/>
          <w:spacing w:val="20"/>
          <w:sz w:val="24"/>
          <w:szCs w:val="24"/>
          <w:lang w:eastAsia="pl-PL"/>
        </w:rPr>
        <w:t>t.j</w:t>
      </w:r>
      <w:proofErr w:type="spellEnd"/>
      <w:r w:rsidR="00E436AA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. Dz. U. </w:t>
      </w:r>
      <w:r w:rsidR="00E436AA" w:rsidRPr="00821905">
        <w:rPr>
          <w:rFonts w:eastAsia="Times New Roman" w:cstheme="minorHAnsi"/>
          <w:spacing w:val="20"/>
          <w:sz w:val="24"/>
          <w:szCs w:val="24"/>
          <w:lang w:eastAsia="pl-PL"/>
        </w:rPr>
        <w:lastRenderedPageBreak/>
        <w:t>2021</w:t>
      </w:r>
      <w:r w:rsidR="00E042C9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r. poz. 112</w:t>
      </w:r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9 ze zm.), zw. dalej ustawą </w:t>
      </w:r>
      <w:proofErr w:type="spellStart"/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>pzp</w:t>
      </w:r>
      <w:proofErr w:type="spellEnd"/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, 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w odpowiedzi na wniosk</w:t>
      </w:r>
      <w:r w:rsidR="005E744E" w:rsidRPr="00821905">
        <w:rPr>
          <w:rFonts w:eastAsia="Times New Roman" w:cstheme="minorHAnsi"/>
          <w:spacing w:val="20"/>
          <w:sz w:val="24"/>
          <w:szCs w:val="24"/>
          <w:lang w:eastAsia="pl-PL"/>
        </w:rPr>
        <w:t>i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wykonawc</w:t>
      </w:r>
      <w:r w:rsidR="005E744E" w:rsidRPr="00821905">
        <w:rPr>
          <w:rFonts w:eastAsia="Times New Roman" w:cstheme="minorHAnsi"/>
          <w:spacing w:val="20"/>
          <w:sz w:val="24"/>
          <w:szCs w:val="24"/>
          <w:lang w:eastAsia="pl-PL"/>
        </w:rPr>
        <w:t>ów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o </w:t>
      </w:r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>wyjaśnie</w:t>
      </w:r>
      <w:r w:rsidR="00ED3808" w:rsidRPr="00821905">
        <w:rPr>
          <w:rFonts w:eastAsia="Times New Roman" w:cstheme="minorHAnsi"/>
          <w:spacing w:val="20"/>
          <w:sz w:val="24"/>
          <w:szCs w:val="24"/>
          <w:lang w:eastAsia="pl-PL"/>
        </w:rPr>
        <w:t>ni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="007268C6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treści Specyfikacji Warunków Zamówienia (SWZ)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udziela </w:t>
      </w:r>
      <w:r w:rsidR="006E5711"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następujących 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wyjaśnień</w:t>
      </w:r>
      <w:r w:rsidR="006E5711" w:rsidRPr="00821905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14:paraId="399C9EF4" w14:textId="77777777" w:rsidR="007670F5" w:rsidRPr="00821905" w:rsidRDefault="007670F5" w:rsidP="00821905">
      <w:pPr>
        <w:spacing w:after="0" w:line="360" w:lineRule="auto"/>
        <w:contextualSpacing/>
        <w:rPr>
          <w:rFonts w:cstheme="minorHAnsi"/>
          <w:spacing w:val="20"/>
          <w:sz w:val="24"/>
          <w:szCs w:val="24"/>
          <w:u w:val="single"/>
        </w:rPr>
      </w:pPr>
    </w:p>
    <w:p w14:paraId="6147DDBE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b/>
          <w:spacing w:val="20"/>
          <w:sz w:val="24"/>
          <w:szCs w:val="24"/>
          <w:lang w:eastAsia="pl-PL"/>
        </w:rPr>
        <w:t>Pytanie nr 1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</w:p>
    <w:p w14:paraId="4CF8F526" w14:textId="1D129CC4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Calibri" w:cstheme="minorHAnsi"/>
          <w:iCs/>
          <w:spacing w:val="20"/>
          <w:sz w:val="24"/>
          <w:szCs w:val="24"/>
        </w:rPr>
      </w:pP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„Proszę o wyjaśnienie izolacji fundamentów - w opisie izolacja przeciwwodna, w przedmiarach i na przekrojach przeciwwilgociowa </w:t>
      </w:r>
      <w:proofErr w:type="spellStart"/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Dysperbit</w:t>
      </w:r>
      <w:proofErr w:type="spellEnd"/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.”</w:t>
      </w:r>
      <w:r w:rsidRPr="00821905">
        <w:rPr>
          <w:rFonts w:eastAsia="Calibri" w:cstheme="minorHAnsi"/>
          <w:spacing w:val="20"/>
          <w:sz w:val="24"/>
          <w:szCs w:val="24"/>
        </w:rPr>
        <w:br/>
      </w:r>
      <w:bookmarkStart w:id="5" w:name="_Hlk82414829"/>
      <w:r w:rsidRPr="00821905">
        <w:rPr>
          <w:rFonts w:eastAsia="Calibri" w:cstheme="minorHAnsi"/>
          <w:b/>
          <w:iCs/>
          <w:spacing w:val="20"/>
          <w:sz w:val="24"/>
          <w:szCs w:val="24"/>
          <w:u w:val="single"/>
        </w:rPr>
        <w:t>Odpowiedź:</w:t>
      </w:r>
      <w:r w:rsidRPr="00821905">
        <w:rPr>
          <w:rFonts w:eastAsia="Calibri" w:cstheme="minorHAnsi"/>
          <w:iCs/>
          <w:spacing w:val="20"/>
          <w:sz w:val="24"/>
          <w:szCs w:val="24"/>
        </w:rPr>
        <w:br/>
      </w:r>
      <w:bookmarkEnd w:id="5"/>
      <w:r w:rsidRPr="00821905">
        <w:rPr>
          <w:rFonts w:eastAsia="Calibri" w:cstheme="minorHAnsi"/>
          <w:iCs/>
          <w:spacing w:val="20"/>
          <w:sz w:val="24"/>
          <w:szCs w:val="24"/>
        </w:rPr>
        <w:t>Do wykonania izolacja fundamentów przeciwwilgociowa, zgodnie z opisem pkt. 2.5 str. 43 i rys. A-</w:t>
      </w:r>
      <w:bookmarkStart w:id="6" w:name="_Hlk82416761"/>
      <w:r w:rsidRPr="00821905">
        <w:rPr>
          <w:rFonts w:eastAsia="Calibri" w:cstheme="minorHAnsi"/>
          <w:iCs/>
          <w:spacing w:val="20"/>
          <w:sz w:val="24"/>
          <w:szCs w:val="24"/>
        </w:rPr>
        <w:t xml:space="preserve">03 projektu budowlanego zmieniającego. </w:t>
      </w:r>
    </w:p>
    <w:bookmarkEnd w:id="6"/>
    <w:p w14:paraId="05E19BEF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Calibri" w:cstheme="minorHAnsi"/>
          <w:iCs/>
          <w:spacing w:val="20"/>
          <w:sz w:val="24"/>
          <w:szCs w:val="24"/>
        </w:rPr>
      </w:pPr>
      <w:r w:rsidRPr="00821905">
        <w:rPr>
          <w:rFonts w:eastAsia="Calibri" w:cstheme="minorHAnsi"/>
          <w:iCs/>
          <w:spacing w:val="20"/>
          <w:sz w:val="24"/>
          <w:szCs w:val="24"/>
        </w:rPr>
        <w:t>W dokumentacji nie odnaleziono nazwy „</w:t>
      </w:r>
      <w:proofErr w:type="spellStart"/>
      <w:r w:rsidRPr="00821905">
        <w:rPr>
          <w:rFonts w:eastAsia="Calibri" w:cstheme="minorHAnsi"/>
          <w:iCs/>
          <w:spacing w:val="20"/>
          <w:sz w:val="24"/>
          <w:szCs w:val="24"/>
        </w:rPr>
        <w:t>Dysperbit</w:t>
      </w:r>
      <w:proofErr w:type="spellEnd"/>
      <w:r w:rsidRPr="00821905">
        <w:rPr>
          <w:rFonts w:eastAsia="Calibri" w:cstheme="minorHAnsi"/>
          <w:iCs/>
          <w:spacing w:val="20"/>
          <w:sz w:val="24"/>
          <w:szCs w:val="24"/>
        </w:rPr>
        <w:t>”.</w:t>
      </w:r>
    </w:p>
    <w:p w14:paraId="3B27CD3B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u w:val="single"/>
          <w:lang w:eastAsia="ar-SA"/>
        </w:rPr>
      </w:pPr>
    </w:p>
    <w:p w14:paraId="6E14BD67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b/>
          <w:spacing w:val="20"/>
          <w:sz w:val="24"/>
          <w:szCs w:val="24"/>
          <w:lang w:eastAsia="pl-PL"/>
        </w:rPr>
        <w:t>Pytanie nr 2</w:t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</w:p>
    <w:p w14:paraId="00F92D20" w14:textId="2CB30D15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u w:val="single"/>
          <w:lang w:eastAsia="ar-SA"/>
        </w:rPr>
      </w:pP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„Proszę o udostępnienie opinii geotechnicznej lub badań gruntu.”</w:t>
      </w:r>
    </w:p>
    <w:p w14:paraId="7244CC2F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Calibri" w:cstheme="minorHAnsi"/>
          <w:b/>
          <w:iCs/>
          <w:spacing w:val="20"/>
          <w:sz w:val="24"/>
          <w:szCs w:val="24"/>
          <w:u w:val="single"/>
        </w:rPr>
      </w:pPr>
      <w:r w:rsidRPr="00821905">
        <w:rPr>
          <w:rFonts w:eastAsia="Calibri" w:cstheme="minorHAnsi"/>
          <w:b/>
          <w:iCs/>
          <w:spacing w:val="20"/>
          <w:sz w:val="24"/>
          <w:szCs w:val="24"/>
          <w:u w:val="single"/>
        </w:rPr>
        <w:t>Odpowiedź:</w:t>
      </w:r>
    </w:p>
    <w:p w14:paraId="734F6640" w14:textId="77777777" w:rsidR="00951142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</w:pPr>
      <w:r w:rsidRPr="00821905">
        <w:rPr>
          <w:rFonts w:eastAsia="Calibri" w:cstheme="minorHAnsi"/>
          <w:iCs/>
          <w:spacing w:val="20"/>
          <w:sz w:val="24"/>
          <w:szCs w:val="24"/>
        </w:rPr>
        <w:t xml:space="preserve">Dane dotyczące warunków gruntowych zawarte są w pkt. 2.3.1. str. 40 projektu budowlanego zmieniającego. </w:t>
      </w:r>
      <w:r w:rsidRPr="00821905">
        <w:rPr>
          <w:rFonts w:eastAsia="Calibri" w:cstheme="minorHAnsi"/>
          <w:spacing w:val="20"/>
          <w:sz w:val="24"/>
          <w:szCs w:val="24"/>
        </w:rPr>
        <w:br/>
      </w:r>
    </w:p>
    <w:p w14:paraId="042AB311" w14:textId="77777777" w:rsidR="00951142" w:rsidRPr="00821905" w:rsidRDefault="00951142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</w:pPr>
    </w:p>
    <w:p w14:paraId="75245017" w14:textId="77777777" w:rsidR="00951142" w:rsidRPr="00821905" w:rsidRDefault="00951142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</w:pPr>
    </w:p>
    <w:p w14:paraId="6C09B16C" w14:textId="48129378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lang w:eastAsia="ar-SA"/>
        </w:rPr>
      </w:pPr>
      <w:r w:rsidRPr="00821905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Pytanie nr 3 </w:t>
      </w:r>
    </w:p>
    <w:p w14:paraId="2117B24A" w14:textId="4AE8716C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u w:val="single"/>
          <w:lang w:eastAsia="ar-SA"/>
        </w:rPr>
      </w:pP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„W przedmiarze występuje pozycja nr. 3 "Wykopy oraz przekopy wykonywane koparkami przedsiębiernymi 0.40 m3 na odkład w gruncie kat. III Podłoże mokre wymagające użycia materaców." - proszę o wyjaśnienie technologii.”</w:t>
      </w:r>
    </w:p>
    <w:p w14:paraId="251F7FD3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Calibri" w:cstheme="minorHAnsi"/>
          <w:b/>
          <w:iCs/>
          <w:spacing w:val="20"/>
          <w:sz w:val="24"/>
          <w:szCs w:val="24"/>
          <w:u w:val="single"/>
        </w:rPr>
      </w:pPr>
      <w:r w:rsidRPr="00821905">
        <w:rPr>
          <w:rFonts w:eastAsia="Calibri" w:cstheme="minorHAnsi"/>
          <w:b/>
          <w:iCs/>
          <w:spacing w:val="20"/>
          <w:sz w:val="24"/>
          <w:szCs w:val="24"/>
          <w:u w:val="single"/>
        </w:rPr>
        <w:t>Odpowiedź:</w:t>
      </w:r>
    </w:p>
    <w:p w14:paraId="44778B4F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</w:pPr>
      <w:r w:rsidRPr="00821905"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  <w:t xml:space="preserve">Opis pozycji przedmiarowej na postawie przyjętych katalogów służących do wyceny robót budowlanych (wg. uznania kosztorysanta). Technologia wykonania prac – wg doświadczenia wykonawcy na podstawie udostępnionej dokumentacji technicznej. Dodatkowo, informuje się że  dołączone do </w:t>
      </w:r>
      <w:r w:rsidRPr="00821905"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  <w:lastRenderedPageBreak/>
        <w:t xml:space="preserve">postępowania przedmiary robót mają jedynie charakter pomocniczy przy wycenie wartości robót.  </w:t>
      </w:r>
    </w:p>
    <w:p w14:paraId="39281E61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Calibri" w:cstheme="minorHAnsi"/>
          <w:i/>
          <w:iCs/>
          <w:spacing w:val="20"/>
          <w:sz w:val="24"/>
          <w:szCs w:val="24"/>
          <w:u w:val="single"/>
        </w:rPr>
      </w:pPr>
    </w:p>
    <w:p w14:paraId="596D1BFB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Pytanie nr 4 </w:t>
      </w:r>
    </w:p>
    <w:p w14:paraId="5322506B" w14:textId="0D21760C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u w:val="single"/>
          <w:lang w:eastAsia="ar-SA"/>
        </w:rPr>
      </w:pP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 xml:space="preserve">„Na przekroju jako pokrycie dachowe wpisano blachodachówkę lub dachówkę cementową - proszę </w:t>
      </w:r>
      <w:r w:rsidR="00951142" w:rsidRPr="00821905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821905">
        <w:rPr>
          <w:rFonts w:eastAsia="Times New Roman" w:cstheme="minorHAnsi"/>
          <w:spacing w:val="20"/>
          <w:sz w:val="24"/>
          <w:szCs w:val="24"/>
          <w:lang w:eastAsia="pl-PL"/>
        </w:rPr>
        <w:t>o określenie co powinno być skalkulowane w ofercie.”</w:t>
      </w:r>
    </w:p>
    <w:p w14:paraId="66740943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Calibri" w:cstheme="minorHAnsi"/>
          <w:b/>
          <w:iCs/>
          <w:spacing w:val="20"/>
          <w:sz w:val="24"/>
          <w:szCs w:val="24"/>
          <w:u w:val="single"/>
        </w:rPr>
      </w:pPr>
      <w:r w:rsidRPr="00821905">
        <w:rPr>
          <w:rFonts w:eastAsia="Calibri" w:cstheme="minorHAnsi"/>
          <w:b/>
          <w:iCs/>
          <w:spacing w:val="20"/>
          <w:sz w:val="24"/>
          <w:szCs w:val="24"/>
          <w:u w:val="single"/>
        </w:rPr>
        <w:t>Odpowiedź:</w:t>
      </w:r>
    </w:p>
    <w:p w14:paraId="0C943ADE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</w:pPr>
      <w:r w:rsidRPr="00821905">
        <w:rPr>
          <w:rFonts w:eastAsia="Tahoma" w:cstheme="minorHAnsi"/>
          <w:bCs/>
          <w:iCs/>
          <w:color w:val="000000"/>
          <w:spacing w:val="20"/>
          <w:sz w:val="24"/>
          <w:szCs w:val="24"/>
          <w:lang w:eastAsia="ar-SA"/>
        </w:rPr>
        <w:t>Pokrycie dachowe – blacha dachówkowa, zgodnie z opisem pkt. 2.4 str. 42  projektu budowlanego zmieniającego.</w:t>
      </w:r>
    </w:p>
    <w:p w14:paraId="2DA2FCDD" w14:textId="77777777" w:rsidR="00E042C9" w:rsidRPr="00821905" w:rsidRDefault="00E042C9" w:rsidP="00821905">
      <w:pPr>
        <w:autoSpaceDE w:val="0"/>
        <w:spacing w:after="200" w:line="360" w:lineRule="auto"/>
        <w:contextualSpacing/>
        <w:rPr>
          <w:rFonts w:eastAsia="Tahoma" w:cstheme="minorHAnsi"/>
          <w:bCs/>
          <w:color w:val="000000"/>
          <w:spacing w:val="20"/>
          <w:sz w:val="24"/>
          <w:szCs w:val="24"/>
          <w:u w:val="single"/>
          <w:lang w:eastAsia="ar-SA"/>
        </w:rPr>
      </w:pPr>
    </w:p>
    <w:p w14:paraId="0E11F89F" w14:textId="4BE9819D" w:rsidR="00ED3808" w:rsidRPr="00821905" w:rsidRDefault="00ED3808" w:rsidP="00821905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799457A4" w14:textId="77777777" w:rsidR="007268C6" w:rsidRPr="00821905" w:rsidRDefault="007268C6" w:rsidP="00821905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4AF33932" w14:textId="4875ABD3" w:rsidR="007268C6" w:rsidRPr="00821905" w:rsidRDefault="007268C6" w:rsidP="00821905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821905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treści SWZ są wiążące dla wszystkich Wykonawców i należy je uwzględnić przy sporządzaniu i składaniu oferty.</w:t>
      </w:r>
    </w:p>
    <w:p w14:paraId="6FE60E80" w14:textId="77777777" w:rsidR="007268C6" w:rsidRPr="00821905" w:rsidRDefault="007268C6" w:rsidP="00821905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bookmarkEnd w:id="0"/>
    <w:p w14:paraId="27F5DD9B" w14:textId="77777777" w:rsidR="008844FF" w:rsidRPr="00821905" w:rsidRDefault="008844FF" w:rsidP="00821905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sectPr w:rsidR="008844FF" w:rsidRPr="00821905" w:rsidSect="002D31B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841699" w:rsidRDefault="000172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1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841699" w:rsidRDefault="00821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6762EA" w:rsidRPr="00821905" w14:paraId="700882CA" w14:textId="77777777" w:rsidTr="0075544D">
      <w:tc>
        <w:tcPr>
          <w:tcW w:w="1016" w:type="pct"/>
          <w:hideMark/>
        </w:tcPr>
        <w:p w14:paraId="3D5B3275" w14:textId="00BF4839" w:rsidR="006762EA" w:rsidRPr="00821905" w:rsidRDefault="006762EA" w:rsidP="00821905">
          <w:pPr>
            <w:spacing w:line="276" w:lineRule="auto"/>
            <w:rPr>
              <w:rFonts w:ascii="Calibri" w:eastAsia="Times New Roman" w:hAnsi="Calibri"/>
              <w:noProof/>
              <w:spacing w:val="20"/>
              <w:sz w:val="24"/>
              <w:szCs w:val="24"/>
            </w:rPr>
          </w:pPr>
        </w:p>
      </w:tc>
      <w:tc>
        <w:tcPr>
          <w:tcW w:w="1484" w:type="pct"/>
          <w:hideMark/>
        </w:tcPr>
        <w:p w14:paraId="6EAB8FF0" w14:textId="498F86A7" w:rsidR="006762EA" w:rsidRPr="00821905" w:rsidRDefault="006762EA" w:rsidP="00821905">
          <w:pPr>
            <w:spacing w:line="276" w:lineRule="auto"/>
            <w:ind w:left="48"/>
            <w:rPr>
              <w:rFonts w:ascii="Calibri" w:hAnsi="Calibri"/>
              <w:noProof/>
              <w:spacing w:val="20"/>
              <w:sz w:val="24"/>
              <w:szCs w:val="24"/>
            </w:rPr>
          </w:pPr>
        </w:p>
      </w:tc>
      <w:tc>
        <w:tcPr>
          <w:tcW w:w="1134" w:type="pct"/>
          <w:hideMark/>
        </w:tcPr>
        <w:p w14:paraId="46BDD76F" w14:textId="608CECAF" w:rsidR="006762EA" w:rsidRPr="00821905" w:rsidRDefault="006762EA" w:rsidP="00821905">
          <w:pPr>
            <w:spacing w:line="276" w:lineRule="auto"/>
            <w:ind w:left="-1"/>
            <w:rPr>
              <w:rFonts w:ascii="Calibri" w:hAnsi="Calibri"/>
              <w:noProof/>
              <w:spacing w:val="20"/>
              <w:sz w:val="24"/>
              <w:szCs w:val="24"/>
            </w:rPr>
          </w:pPr>
        </w:p>
      </w:tc>
      <w:tc>
        <w:tcPr>
          <w:tcW w:w="1366" w:type="pct"/>
          <w:hideMark/>
        </w:tcPr>
        <w:p w14:paraId="7BFE90DE" w14:textId="5EE8C8F4" w:rsidR="006762EA" w:rsidRPr="00821905" w:rsidRDefault="006762EA" w:rsidP="00821905">
          <w:pPr>
            <w:spacing w:line="276" w:lineRule="auto"/>
            <w:ind w:right="-1"/>
            <w:rPr>
              <w:rFonts w:ascii="Calibri" w:hAnsi="Calibri"/>
              <w:noProof/>
              <w:spacing w:val="20"/>
              <w:sz w:val="24"/>
              <w:szCs w:val="24"/>
            </w:rPr>
          </w:pPr>
        </w:p>
      </w:tc>
    </w:tr>
  </w:tbl>
  <w:p w14:paraId="118E8030" w14:textId="744A026B" w:rsidR="006762EA" w:rsidRPr="00821905" w:rsidRDefault="006762EA" w:rsidP="00821905">
    <w:pPr>
      <w:pStyle w:val="Nagwek"/>
      <w:spacing w:line="276" w:lineRule="auto"/>
      <w:rPr>
        <w:spacing w:val="20"/>
        <w:sz w:val="24"/>
        <w:szCs w:val="24"/>
      </w:rPr>
    </w:pPr>
    <w:r w:rsidRPr="00821905">
      <w:rPr>
        <w:spacing w:val="20"/>
        <w:sz w:val="24"/>
        <w:szCs w:val="24"/>
      </w:rPr>
      <w:t>RZP.271.1.</w:t>
    </w:r>
    <w:r w:rsidR="00E042C9" w:rsidRPr="00821905">
      <w:rPr>
        <w:spacing w:val="20"/>
        <w:sz w:val="24"/>
        <w:szCs w:val="24"/>
      </w:rPr>
      <w:t>7</w:t>
    </w:r>
    <w:r w:rsidR="00E436AA" w:rsidRPr="00821905">
      <w:rPr>
        <w:spacing w:val="20"/>
        <w:sz w:val="24"/>
        <w:szCs w:val="24"/>
      </w:rPr>
      <w:t>.2021.</w:t>
    </w:r>
    <w:r w:rsidR="00E042C9" w:rsidRPr="00821905">
      <w:rPr>
        <w:spacing w:val="20"/>
        <w:sz w:val="24"/>
        <w:szCs w:val="24"/>
      </w:rPr>
      <w:t>WSL</w:t>
    </w:r>
  </w:p>
  <w:p w14:paraId="6A0EDEB7" w14:textId="77777777" w:rsidR="006762EA" w:rsidRPr="00821905" w:rsidRDefault="006762EA" w:rsidP="00821905">
    <w:pPr>
      <w:pStyle w:val="Nagwek"/>
      <w:spacing w:line="276" w:lineRule="auto"/>
      <w:rPr>
        <w:spacing w:val="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F9A"/>
    <w:multiLevelType w:val="hybridMultilevel"/>
    <w:tmpl w:val="FA0A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A1202"/>
    <w:multiLevelType w:val="hybridMultilevel"/>
    <w:tmpl w:val="FC8C49E6"/>
    <w:lvl w:ilvl="0" w:tplc="DE944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4AAF"/>
    <w:multiLevelType w:val="hybridMultilevel"/>
    <w:tmpl w:val="23667B68"/>
    <w:lvl w:ilvl="0" w:tplc="6EAC2650">
      <w:start w:val="1"/>
      <w:numFmt w:val="decimal"/>
      <w:lvlText w:val="%1."/>
      <w:lvlJc w:val="left"/>
      <w:pPr>
        <w:ind w:left="1070" w:hanging="360"/>
      </w:pPr>
      <w:rPr>
        <w:rFonts w:eastAsiaTheme="minorHAnsi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3F"/>
    <w:rsid w:val="000172B0"/>
    <w:rsid w:val="000A0183"/>
    <w:rsid w:val="000A170F"/>
    <w:rsid w:val="000E2BCE"/>
    <w:rsid w:val="002006BA"/>
    <w:rsid w:val="00266E6E"/>
    <w:rsid w:val="00407233"/>
    <w:rsid w:val="0043153F"/>
    <w:rsid w:val="004D1994"/>
    <w:rsid w:val="005E744E"/>
    <w:rsid w:val="006762EA"/>
    <w:rsid w:val="006E5711"/>
    <w:rsid w:val="0071502F"/>
    <w:rsid w:val="007268C6"/>
    <w:rsid w:val="007670F5"/>
    <w:rsid w:val="00786FBD"/>
    <w:rsid w:val="00821905"/>
    <w:rsid w:val="00877A42"/>
    <w:rsid w:val="008844FF"/>
    <w:rsid w:val="00951142"/>
    <w:rsid w:val="00967C95"/>
    <w:rsid w:val="00A83665"/>
    <w:rsid w:val="00AF2970"/>
    <w:rsid w:val="00B10CB1"/>
    <w:rsid w:val="00B84B14"/>
    <w:rsid w:val="00C84FE3"/>
    <w:rsid w:val="00DD63F0"/>
    <w:rsid w:val="00E042C9"/>
    <w:rsid w:val="00E436AA"/>
    <w:rsid w:val="00E82720"/>
    <w:rsid w:val="00ED3808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3BBCA9"/>
  <w15:chartTrackingRefBased/>
  <w15:docId w15:val="{840DA0A6-D535-4673-901C-8EB905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13</cp:revision>
  <cp:lastPrinted>2021-09-13T10:31:00Z</cp:lastPrinted>
  <dcterms:created xsi:type="dcterms:W3CDTF">2021-07-02T08:21:00Z</dcterms:created>
  <dcterms:modified xsi:type="dcterms:W3CDTF">2021-09-13T11:24:00Z</dcterms:modified>
</cp:coreProperties>
</file>