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7C0" w:rsidRDefault="006757C0" w:rsidP="006757C0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5 Ubezpieczenie D&amp;O</w:t>
      </w:r>
    </w:p>
    <w:p w:rsidR="006757C0" w:rsidRPr="003946A8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46A8">
        <w:rPr>
          <w:rFonts w:ascii="Times New Roman" w:hAnsi="Times New Roman" w:cs="Times New Roman"/>
          <w:bCs/>
          <w:sz w:val="24"/>
          <w:szCs w:val="24"/>
          <w:u w:val="single"/>
        </w:rPr>
        <w:t>Okres ubezpieczenia:</w:t>
      </w:r>
    </w:p>
    <w:p w:rsidR="006757C0" w:rsidRPr="003946A8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6A8">
        <w:rPr>
          <w:rFonts w:ascii="Times New Roman" w:hAnsi="Times New Roman" w:cs="Times New Roman"/>
          <w:bCs/>
          <w:sz w:val="24"/>
          <w:szCs w:val="24"/>
        </w:rPr>
        <w:t>Przez 36 miesięcy w okresie od 01.12.2021-30.12.2024r.</w:t>
      </w:r>
    </w:p>
    <w:p w:rsidR="006757C0" w:rsidRPr="001774EC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b/>
          <w:kern w:val="0"/>
          <w:sz w:val="24"/>
          <w:szCs w:val="25"/>
          <w:lang w:eastAsia="pl-PL"/>
        </w:rPr>
      </w:pPr>
      <w:r w:rsidRPr="001774EC">
        <w:rPr>
          <w:rFonts w:ascii="Times New Roman" w:hAnsi="Times New Roman" w:cs="Times New Roman"/>
          <w:b/>
          <w:kern w:val="0"/>
          <w:sz w:val="24"/>
          <w:szCs w:val="25"/>
          <w:lang w:eastAsia="pl-PL"/>
        </w:rPr>
        <w:t>Przedmiot ubezpieczenia: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Przedmiotem ubezpieczenia jest odpowiedzialność cywilna członków władz lub dyrekcji spółki kapitałowej za szkody wyrządzone w spółce lub osobom trzecim  w związku z wykonywaniem powierzonych obowiązków, za które członek władz lub dyrekcji spółki kapitałowej ponosi odpowiedzialność cywilną zgodnie z kodeksem spółek handlowych, umową bądź statutem i regulaminem spółki kapitałowej oraz innymi przepisami regulującymi odpowiedzialność członków władz spółki kapitałowej, na zasadach określonych w kodeksie cywilnym.</w:t>
      </w:r>
    </w:p>
    <w:p w:rsidR="006757C0" w:rsidRPr="004224FC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b/>
          <w:kern w:val="0"/>
          <w:sz w:val="24"/>
          <w:szCs w:val="25"/>
          <w:lang w:eastAsia="pl-PL"/>
        </w:rPr>
      </w:pPr>
      <w:r w:rsidRPr="004224FC">
        <w:rPr>
          <w:rFonts w:ascii="Times New Roman" w:hAnsi="Times New Roman" w:cs="Times New Roman"/>
          <w:b/>
          <w:kern w:val="0"/>
          <w:sz w:val="24"/>
          <w:szCs w:val="25"/>
          <w:lang w:eastAsia="pl-PL"/>
        </w:rPr>
        <w:t>Zakres ubezpieczenia: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Ochrona obejmuje szkody powstałe wskutek nieprawidłowego działania lub zaniechania działania, w tym rażącego niedbalstwa, stanowiące nienależyte wykonanie obowiązków Ubezpieczonego wynikające z pełnionej przez niego u Zamawiającego funkcji, w zakresie przewidzianym przez prawo lub wewnętrzne regulacje Zamawiającego, w szczególności: działania na szkodę Zamawiającego, przekroczenie pełnomocnictw, złożenie nieprawdziwych oświadczeń lub podanie informacji wprowadzających w błąd, zatajenie istotnych informacji, do przekazania których Zamawiający był prawnie zobligowany, czy też brak nadzoru.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Ponadto zakres ubezpieczenia obejmuje: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- ochronę roszczenia z art. 107 i 116 ordynacji podatkowej,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- ochronę kosztów zaskarżenia,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- ochronę kosztów poniesionych przed wniesieniem roszczenia,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- Grzywny i kary administracyjne,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- ochrona dla Spółki w związku z roszczeniem z tytułu Papierów Wartościowych,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- Naruszenie Praw Pracowniczych,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- Koszty Postępowania Przygotowawczego,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- koszty obrony z tytułu uszkodzenia ciała lub mienia,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- koszty wsparcia psychologicznego,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- koszty odzyskania dobrego imienia,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lastRenderedPageBreak/>
        <w:t>- koszty postępowania ekstradycyjnego,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- wydatki na kaucje poręczenia gwarancje oraz koszty związane z postępowaniem dotyczącym wolności lub mienia,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- ochronę rozsądnych i uzasadnionych kosztów (wynagrodzenia, wydatki) zewnętrznych konsultantów PR za uprzednią zgodą zakładu ubezpieczeń wydaną po analizie przekazanych faktur lub dokumentów pochodzących od zewnętrznych specjalistów w celu przywrócenia dobrego imienia Ubezpieczonych w przypadku wniesienia, objętego ubezpieczeniem roszczenia przeciwko Ubezpieczonym,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- ochronę kosztów awaryjnych – tj. koszty obrony (w tym koszty postępowania przygotowawczego lub wyjaśniającego) ponoszone przez Ubezpieczonego w związku z roszczeniem bez uprzedniej zgody zakładu ubezpieczeń w przypadku gdy takiej zgody uzyskać nie można przed ich poniesieniem, na które zakład ubezpieczeń udzieli akceptacji ex post,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- ochronę kosztów obrony oraz roszczeń akcjonariuszy w związku ze skażeniem środowiska,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- ochronę roszczenia osób bliskich.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 w:rsidRPr="00DF430C">
        <w:rPr>
          <w:rFonts w:ascii="Times New Roman" w:hAnsi="Times New Roman" w:cs="Times New Roman"/>
          <w:kern w:val="0"/>
          <w:sz w:val="24"/>
          <w:szCs w:val="25"/>
          <w:u w:val="single"/>
          <w:lang w:eastAsia="pl-PL"/>
        </w:rPr>
        <w:t>Osoby objęte ubezpieczeniem:</w:t>
      </w:r>
      <w:r>
        <w:rPr>
          <w:rFonts w:ascii="Times New Roman" w:hAnsi="Times New Roman" w:cs="Times New Roman"/>
          <w:kern w:val="0"/>
          <w:sz w:val="24"/>
          <w:szCs w:val="25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osoby sprawujące funkcje kierownicze i nadzorcze, a także:</w:t>
      </w:r>
    </w:p>
    <w:p w:rsidR="006757C0" w:rsidRDefault="006757C0" w:rsidP="006757C0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Pracownicy (inni niż Członkowie Zarządu, Rady Nadzorczej czy Prokurenci) podczas wykonywania funkcji zarządczych lub nadzorczych lub</w:t>
      </w:r>
    </w:p>
    <w:p w:rsidR="006757C0" w:rsidRDefault="006757C0" w:rsidP="006757C0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 xml:space="preserve">Pracowników jako </w:t>
      </w:r>
      <w:proofErr w:type="spellStart"/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współpozwanych</w:t>
      </w:r>
      <w:proofErr w:type="spellEnd"/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 xml:space="preserve"> razem z Członkiem Zarządu, Rady Nadzorczej lub prokurentem Spółki w związku z roszczeniem, w którym podnoszony jest w stosunku do danego pracownika zarzut rzekomego uczestnictwa lub pomocy przy popełnianiu uchybienia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b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 xml:space="preserve">Suma gwarancyjna: </w:t>
      </w:r>
      <w:r w:rsidRPr="00DF430C">
        <w:rPr>
          <w:rFonts w:ascii="Times New Roman" w:hAnsi="Times New Roman" w:cs="Times New Roman"/>
          <w:b/>
          <w:kern w:val="0"/>
          <w:sz w:val="24"/>
          <w:szCs w:val="25"/>
          <w:lang w:eastAsia="pl-PL"/>
        </w:rPr>
        <w:t>3.000.000,00 zł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Udział własny, franszyza redukcyjna, franszyza integralna – zniesione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Zakres terytorialny – cały świat</w:t>
      </w:r>
    </w:p>
    <w:p w:rsidR="006757C0" w:rsidRDefault="006757C0" w:rsidP="006757C0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kern w:val="0"/>
          <w:sz w:val="24"/>
          <w:szCs w:val="25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5"/>
          <w:lang w:eastAsia="pl-PL"/>
        </w:rPr>
        <w:t>Włączenie daty retroaktywnej – pełne pokrycie wsteczne</w:t>
      </w:r>
    </w:p>
    <w:p w:rsidR="006757C0" w:rsidRDefault="006757C0" w:rsidP="006757C0"/>
    <w:p w:rsidR="006757C0" w:rsidRDefault="006757C0" w:rsidP="006757C0">
      <w:bookmarkStart w:id="0" w:name="_GoBack"/>
      <w:bookmarkEnd w:id="0"/>
    </w:p>
    <w:p w:rsidR="006757C0" w:rsidRDefault="006757C0" w:rsidP="006757C0"/>
    <w:p w:rsidR="006757C0" w:rsidRDefault="006757C0" w:rsidP="006757C0"/>
    <w:sectPr w:rsidR="0067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7E7"/>
    <w:multiLevelType w:val="hybridMultilevel"/>
    <w:tmpl w:val="B9428D82"/>
    <w:lvl w:ilvl="0" w:tplc="2E1A1F4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09B4"/>
    <w:multiLevelType w:val="hybridMultilevel"/>
    <w:tmpl w:val="0B7E41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C0"/>
    <w:rsid w:val="006757C0"/>
    <w:rsid w:val="0087000A"/>
    <w:rsid w:val="00C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B3C0"/>
  <w15:chartTrackingRefBased/>
  <w15:docId w15:val="{36425AEE-B5A8-4ED3-9274-B627565D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757C0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2021-11-17T12:10:00Z</dcterms:created>
  <dcterms:modified xsi:type="dcterms:W3CDTF">2021-11-17T13:43:00Z</dcterms:modified>
</cp:coreProperties>
</file>