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 xml:space="preserve">Budowa przedłużenia ul. Piotra Wysockiego w Łebie </w:t>
        <w:br/>
        <w:t xml:space="preserve">na wschód od Alei Św. Jakuba </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highlight w:val="none"/>
          <w:shd w:fill="auto" w:val="clear"/>
        </w:rPr>
      </w:pPr>
      <w:r>
        <w:rPr>
          <w:rFonts w:ascii="Arial" w:hAnsi="Arial"/>
          <w:sz w:val="22"/>
          <w:szCs w:val="22"/>
          <w:shd w:fill="auto" w:val="clear"/>
          <w:lang w:val="pl-PL"/>
        </w:rPr>
        <w:t xml:space="preserve">(znak sprawy </w:t>
      </w:r>
      <w:r>
        <w:rPr>
          <w:rFonts w:eastAsia="Calibri" w:cs="Arial" w:ascii="Arial" w:hAnsi="Arial" w:eastAsiaTheme="minorHAnsi"/>
          <w:color w:val="000000"/>
          <w:kern w:val="0"/>
          <w:sz w:val="22"/>
          <w:szCs w:val="22"/>
          <w:shd w:fill="auto" w:val="clear"/>
          <w:lang w:val="pl-PL" w:eastAsia="pl-PL" w:bidi="ar-SA"/>
        </w:rPr>
        <w:t>RI.271.9.2023.IM</w:t>
      </w:r>
      <w:r>
        <w:rPr>
          <w:rFonts w:ascii="Arial" w:hAnsi="Arial"/>
          <w:sz w:val="22"/>
          <w:szCs w:val="22"/>
          <w:shd w:fill="auto" w:val="clear"/>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kwiecień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rFonts w:ascii="Arial" w:hAnsi="Arial" w:eastAsia="Century Gothic"/>
          <w:b/>
          <w:sz w:val="22"/>
          <w:lang w:val="pl-PL"/>
        </w:rPr>
      </w:pPr>
      <w:r>
        <w:rPr>
          <w:rFonts w:eastAsia="Century Gothic" w:ascii="Arial" w:hAnsi="Arial"/>
          <w:b/>
          <w:sz w:val="22"/>
          <w:lang w:val="pl-PL"/>
        </w:rPr>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 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rFonts w:ascii="Arial" w:hAnsi="Arial" w:eastAsia="Times New Roman"/>
          <w:sz w:val="22"/>
          <w:szCs w:val="22"/>
          <w:lang w:val="pl-PL" w:eastAsia="zh-CN"/>
        </w:rPr>
      </w:pPr>
      <w:r>
        <w:rPr/>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tabs>
          <w:tab w:val="clear" w:pos="708"/>
          <w:tab w:val="left" w:pos="843" w:leader="none"/>
        </w:tabs>
        <w:spacing w:lineRule="auto" w:line="360"/>
        <w:jc w:val="both"/>
        <w:rPr/>
      </w:pPr>
      <w:r>
        <w:rPr>
          <w:rFonts w:eastAsia="Century Gothic" w:ascii="Arial" w:hAnsi="Arial"/>
          <w:sz w:val="22"/>
          <w:lang w:val="pl-PL"/>
        </w:rPr>
        <w:t>45000000-7 - Roboty budowlane</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45316110-9 – Instalowanie urządzeń oświetlenia drogowego</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45233142-6 - Roboty w zakresie naprawy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45231000-5 - Roboty budowlane w zakresie budowy rurociągów, ciągów komunikacyjnych i linii energetycznych</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45233000-9 - Roboty w zakresie konstruowania, fundamentowania oraz wykonywania nawierzchni autostrad,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45110000-1 - Roboty w zakresie przygotowania terenu pod budowę i roboty ziemne</w:t>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xml:space="preserve">. Przedmiotem zamówienia jest </w:t>
      </w:r>
      <w:r>
        <w:rPr>
          <w:rFonts w:eastAsia="Century Gothic" w:cs="Arial" w:ascii="Arial" w:hAnsi="Arial"/>
          <w:b/>
          <w:bCs/>
          <w:sz w:val="22"/>
          <w:szCs w:val="22"/>
          <w:lang w:val="pl-PL"/>
        </w:rPr>
        <w:t>B</w:t>
      </w:r>
      <w:r>
        <w:rPr>
          <w:rFonts w:eastAsia="Lucida Sans Unicode" w:cs="Arial" w:ascii="Arial" w:hAnsi="Arial"/>
          <w:b/>
          <w:bCs/>
          <w:color w:val="auto"/>
          <w:kern w:val="2"/>
          <w:sz w:val="22"/>
          <w:szCs w:val="22"/>
          <w:lang w:val="pl-PL" w:eastAsia="zh-CN" w:bidi="pl-PL"/>
        </w:rPr>
        <w:t xml:space="preserve">udowa przedłużenia ul. Piotra Wysockiego w Łebie na wschód od Alei Św. Jakuba. </w:t>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wykonanej przez Usługi Projektowe Marek Skiba, ul. Chałubińskiego 22a/4, 75-581 Koszalin oraz przez Projektowanie</w:t>
        <w:br/>
        <w:t xml:space="preserve">i Nadzory Zbigniew Wysokiński, ul. E. Plater 14a/4, 84-300 Lębork. Dokumentacje projektowe </w:t>
      </w:r>
      <w:r>
        <w:rPr>
          <w:rFonts w:cs="Arial" w:ascii="Arial" w:hAnsi="Arial"/>
          <w:sz w:val="22"/>
          <w:szCs w:val="22"/>
          <w:lang w:val="pl-PL"/>
        </w:rPr>
        <w:t xml:space="preserve"> stanowią załącznik nr 8 do niniejszej SWZ. </w:t>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 xml:space="preserve">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 </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zakresie zadania wystąpi własnym kosztem i staraniem o uaktualnienie decyzji </w:t>
        <w:br/>
        <w:t>i uzgodnień, które utraciły lub utracą ważność podczas wykonywania prac, poprzez przygotowanie właściwych dokumentów, wykonanie uzgodnień i uzyskanie aktualnych decyzji, uzgodnień i opinii.</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ramach zadania wykon</w:t>
      </w:r>
      <w:r>
        <w:rPr>
          <w:rFonts w:eastAsia="Times New Roman" w:ascii="Arial" w:hAnsi="Arial"/>
          <w:sz w:val="22"/>
          <w:szCs w:val="22"/>
          <w:shd w:fill="auto" w:val="clear"/>
          <w:lang w:val="pl-PL" w:eastAsia="zh-CN"/>
        </w:rPr>
        <w:t xml:space="preserve">a zjazdy oraz wejścia do dz. nr 1737 do dz. nr 822/15 zgodnie z załącznikiem nr 8. </w:t>
      </w:r>
    </w:p>
    <w:p>
      <w:pPr>
        <w:pStyle w:val="Normal"/>
        <w:suppressAutoHyphens w:val="true"/>
        <w:spacing w:lineRule="auto" w:line="360" w:before="0" w:after="0"/>
        <w:ind w:hanging="0"/>
        <w:jc w:val="both"/>
        <w:rPr/>
      </w:pPr>
      <w:r>
        <w:rPr>
          <w:rFonts w:eastAsia="Times New Roman" w:ascii="Arial" w:hAnsi="Arial"/>
          <w:sz w:val="22"/>
          <w:szCs w:val="22"/>
          <w:shd w:fill="auto" w:val="clear"/>
          <w:lang w:val="pl-PL" w:eastAsia="zh-CN"/>
        </w:rPr>
        <w:t xml:space="preserve">Wykonawca obowiązany jest dostosować niweletę wykonywanej drogi do rzędnych budynków istniejących wzdłuż drogi.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ramach zadania obowiązany jest do opracowania, uzgodnienia projektu SOR,</w:t>
        <w:br/>
        <w:t>a następnie do wprowadzenia  SOR.</w:t>
      </w:r>
    </w:p>
    <w:p>
      <w:pPr>
        <w:pStyle w:val="Normal"/>
        <w:spacing w:lineRule="auto" w:line="360"/>
        <w:jc w:val="both"/>
        <w:rPr/>
      </w:pPr>
      <w:r>
        <w:rPr>
          <w:rFonts w:eastAsia="Times New Roman" w:ascii="ArialMT" w:hAnsi="ArialMT"/>
          <w:sz w:val="22"/>
          <w:szCs w:val="22"/>
          <w:lang w:val="pl-PL" w:eastAsia="zh-CN"/>
        </w:rPr>
        <w:t>O</w:t>
      </w:r>
      <w:r>
        <w:rPr>
          <w:rFonts w:ascii="ArialMT" w:hAnsi="ArialMT"/>
          <w:sz w:val="22"/>
        </w:rPr>
        <w:t>świetlenie uliczne należy wykonać zgodnie z dokumentacją projektową jednak dokonać przyłączenia do sieci elektroenergetycznej w miejscach wskazanych przez Zamawiającego na</w:t>
        <w:br/>
        <w:t xml:space="preserve">ul. </w:t>
      </w:r>
      <w:r>
        <w:rPr>
          <w:rFonts w:ascii="ArialMT" w:hAnsi="ArialMT"/>
          <w:sz w:val="22"/>
        </w:rPr>
        <w:t>Al. Św. Jakuba</w:t>
      </w:r>
      <w:r>
        <w:rPr>
          <w:rFonts w:ascii="ArialMT" w:hAnsi="ArialMT"/>
          <w:sz w:val="22"/>
        </w:rPr>
        <w:t>.</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ma obowiązek poinformowania właściwych gestorów sieci i urządzeń o rozpoczęciu prac.</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ramach wykonywanego zamówienia zamontuje kosz do każdego wpustu kanalizacji deszczowej.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ramach zadania dost</w:t>
      </w:r>
      <w:r>
        <w:rPr>
          <w:rFonts w:eastAsia="Times New Roman" w:ascii="Arial" w:hAnsi="Arial"/>
          <w:sz w:val="22"/>
          <w:szCs w:val="22"/>
          <w:shd w:fill="auto" w:val="clear"/>
          <w:lang w:val="pl-PL" w:eastAsia="zh-CN"/>
        </w:rPr>
        <w:t xml:space="preserve">arczy 6 ławek oraz 6 koszy na śmieci oraz ustawi w miejscach wskazanych przez Zamawiającego. </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Uliczne wpusty kanalizacji deszczowej z osadnikiem zwieńczone muszą być uliczną kratą żeliwną wyposażoną w zawiasy utrudniające kradzieże.</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Wykonawca w ramach zamówienia, zakupi i zamontuje własnym kosztem i staraniem, na każdym słupie oświetleniowym podwójny uchwyt na flagi w kolorze lampy.</w:t>
      </w:r>
    </w:p>
    <w:p>
      <w:pPr>
        <w:pStyle w:val="Normal"/>
        <w:suppressAutoHyphens w:val="true"/>
        <w:spacing w:lineRule="auto" w:line="360" w:before="0" w:after="0"/>
        <w:ind w:hanging="0"/>
        <w:jc w:val="both"/>
        <w:rPr/>
      </w:pPr>
      <w:r>
        <w:rPr>
          <w:rFonts w:eastAsia="Times New Roman" w:ascii="Arial" w:hAnsi="Arial"/>
          <w:sz w:val="22"/>
          <w:szCs w:val="22"/>
          <w:lang w:val="pl-PL" w:eastAsia="zh-CN"/>
        </w:rPr>
        <w:t>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w:t>
        <w:br/>
        <w:t>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w:t>
        <w:br/>
        <w:t>i urządzeniom w Dokumentacji projektowej. Dopisuje się wyraz „lub równoważny” do wszystkich nazw, znaków towarowych, patentów lub pochodzenia wskazanych w Dokumentacji projektowej.  Wszystkie zapisy SWZ należy rozpatrywać łącznie z opisem technicznym zawartym</w:t>
        <w:br/>
        <w:t>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pP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ma obowiązek zabezpieczyć materiały rozbiórkowe w taki sposób, aby mogły one być wykorzystane do ponownego wykorzystania. W szczególności dotyczy to krawężników, kostki drogowej, płytek, oznakowania drogowego i słupów oświetleniowyc</w:t>
      </w:r>
      <w:r>
        <w:rPr>
          <w:rFonts w:eastAsia="Lucida Sans Unicode" w:ascii="Arial" w:hAnsi="Arial"/>
          <w:b w:val="false"/>
          <w:bCs w:val="false"/>
          <w:kern w:val="2"/>
          <w:sz w:val="22"/>
          <w:szCs w:val="22"/>
          <w:u w:val="none"/>
          <w:lang w:val="pl-PL" w:eastAsia="zh-CN" w:bidi="pl-PL"/>
        </w:rPr>
        <w:t>h. Rozbiórka nawierzchni asfaltowych ma nastąpić w taki sposób aby powstały z rozbiórki materiał Zamawiający mógł wykorzystać powtórnie. Wykonawca ma obowiązek zdać powstały materiał protokolarnie</w:t>
        <w:br/>
        <w:t xml:space="preserve">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u w:val="none"/>
          <w:lang w:val="pl-PL" w:eastAsia="zh-CN" w:bidi="pl-PL"/>
        </w:rPr>
        <w:t>Wykonawca ma obowiązek wykonania i wprowadzenia czasowej organizacji ru</w:t>
      </w:r>
      <w:r>
        <w:rPr>
          <w:rFonts w:eastAsia="Lucida Sans Unicode" w:ascii="Arial" w:hAnsi="Arial"/>
          <w:b w:val="false"/>
          <w:bCs w:val="false"/>
          <w:kern w:val="2"/>
          <w:sz w:val="22"/>
          <w:szCs w:val="22"/>
          <w:lang w:val="pl-PL" w:eastAsia="zh-CN" w:bidi="pl-PL"/>
        </w:rPr>
        <w:t>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w:t>
        <w:br/>
        <w:t>i wprowadzeniem właściwej czasowej organizacji ruchu.</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4. Wykonawca ma obowiązek wykonania i zamontowania 2 tablic informacyjnych zgodnych</w:t>
        <w:br/>
        <w:t>z wytycznymi programu Rządowego Funduszu Rozwoju Dróg w miejscach wskazanych przez Zamawiającego.</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zapewni obsługę budowy: kiero</w:t>
      </w:r>
      <w:r>
        <w:rPr>
          <w:rFonts w:eastAsia="Lucida Sans Unicode" w:ascii="Arial" w:hAnsi="Arial"/>
          <w:b w:val="false"/>
          <w:bCs w:val="false"/>
          <w:kern w:val="2"/>
          <w:sz w:val="22"/>
          <w:szCs w:val="22"/>
          <w:shd w:fill="auto" w:val="clear"/>
          <w:lang w:val="pl-PL" w:eastAsia="zh-CN" w:bidi="pl-PL"/>
        </w:rPr>
        <w:t xml:space="preserve">wnika budowy w branży </w:t>
      </w:r>
      <w:r>
        <w:rPr>
          <w:rFonts w:eastAsia="Lucida Sans Unicode" w:cs="Arial" w:ascii="Arial" w:hAnsi="Arial"/>
          <w:b w:val="false"/>
          <w:bCs w:val="false"/>
          <w:color w:val="000000"/>
          <w:kern w:val="2"/>
          <w:sz w:val="22"/>
          <w:szCs w:val="22"/>
          <w:shd w:fill="auto" w:val="clear"/>
          <w:lang w:val="pl-PL" w:eastAsia="zh-CN" w:bidi="pl-PL"/>
        </w:rPr>
        <w:t>drogowej</w:t>
      </w:r>
      <w:r>
        <w:rPr>
          <w:rFonts w:eastAsia="Lucida Sans Unicode" w:ascii="Arial" w:hAnsi="Arial"/>
          <w:b w:val="false"/>
          <w:bCs w:val="false"/>
          <w:kern w:val="2"/>
          <w:sz w:val="22"/>
          <w:szCs w:val="22"/>
          <w:shd w:fill="auto" w:val="clear"/>
          <w:lang w:val="pl-PL" w:eastAsia="zh-CN" w:bidi="pl-PL"/>
        </w:rPr>
        <w:t xml:space="preserve"> oraz kierowników robót we właściwych branżach.</w:t>
      </w:r>
    </w:p>
    <w:p>
      <w:pPr>
        <w:pStyle w:val="Normal"/>
        <w:tabs>
          <w:tab w:val="clear" w:pos="708"/>
          <w:tab w:val="left" w:pos="843" w:leader="none"/>
        </w:tabs>
        <w:spacing w:lineRule="auto" w:line="360" w:before="12" w:after="0"/>
        <w:jc w:val="both"/>
        <w:rPr/>
      </w:pPr>
      <w:r>
        <w:rPr>
          <w:rFonts w:eastAsia="Century Gothic" w:ascii="Arial" w:hAnsi="Arial"/>
          <w:sz w:val="22"/>
          <w:lang w:val="pl-PL"/>
        </w:rPr>
        <w:t>5.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0" w:after="0"/>
        <w:jc w:val="both"/>
        <w:rPr/>
      </w:pPr>
      <w:r>
        <w:rPr>
          <w:rFonts w:eastAsia="Century Gothic" w:ascii="Arial" w:hAnsi="Arial"/>
          <w:sz w:val="22"/>
          <w:lang w:val="pl-PL"/>
        </w:rPr>
        <w:t>6. Zamawiający żąda wskazania przez Wykonawcę w ofercie części zamówienia, których wykonanie powierzy Podwykonawcom, oraz podania nazw ewentualnych Podwykonawców, jeżeli są już znani.</w:t>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7. Zamawiający wymaga zatrudnienia na podstawie umowy o pracę przez wykonawcę lub podwykonawcę osób do wykonywania wskazanych poniżej czynności w trakcie realizacji zamówienia:</w:t>
      </w:r>
    </w:p>
    <w:p>
      <w:pPr>
        <w:pStyle w:val="Normal"/>
        <w:numPr>
          <w:ilvl w:val="0"/>
          <w:numId w:val="7"/>
        </w:numPr>
        <w:spacing w:lineRule="auto" w:line="360"/>
        <w:rPr>
          <w:rFonts w:ascii="Arial" w:hAnsi="Arial"/>
          <w:sz w:val="22"/>
          <w:szCs w:val="22"/>
        </w:rPr>
      </w:pPr>
      <w:r>
        <w:rPr>
          <w:rFonts w:ascii="Arial" w:hAnsi="Arial"/>
          <w:sz w:val="22"/>
          <w:szCs w:val="22"/>
        </w:rPr>
        <w:t>pracami przygotowawczymi, w tym rozbiórkowymi i odtworzeniowymi konstrukcji oraz nawierzchni,</w:t>
      </w:r>
    </w:p>
    <w:p>
      <w:pPr>
        <w:pStyle w:val="Normal"/>
        <w:numPr>
          <w:ilvl w:val="0"/>
          <w:numId w:val="7"/>
        </w:numPr>
        <w:spacing w:lineRule="auto" w:line="360"/>
        <w:rPr>
          <w:rFonts w:ascii="Arial" w:hAnsi="Arial"/>
          <w:sz w:val="22"/>
          <w:szCs w:val="22"/>
        </w:rPr>
      </w:pPr>
      <w:r>
        <w:rPr>
          <w:rFonts w:ascii="Arial" w:hAnsi="Arial"/>
          <w:sz w:val="22"/>
          <w:szCs w:val="22"/>
        </w:rPr>
        <w:t>robotami nawierzchniowymi związanymi z asfaltowaniem oraz układaniem nawierzchni betonowych i kamiennych,</w:t>
      </w:r>
    </w:p>
    <w:p>
      <w:pPr>
        <w:pStyle w:val="Normal"/>
        <w:numPr>
          <w:ilvl w:val="0"/>
          <w:numId w:val="7"/>
        </w:numPr>
        <w:spacing w:lineRule="auto" w:line="360"/>
        <w:rPr>
          <w:rFonts w:ascii="Arial" w:hAnsi="Arial"/>
          <w:sz w:val="22"/>
          <w:szCs w:val="22"/>
        </w:rPr>
      </w:pPr>
      <w:r>
        <w:rPr>
          <w:rFonts w:ascii="Arial" w:hAnsi="Arial"/>
          <w:sz w:val="22"/>
          <w:szCs w:val="22"/>
        </w:rPr>
        <w:t xml:space="preserve">budową sieci i przyłączy kanalizacji deszczowej, elektrycznej, telekomunikacyjnej, wodociągowej i kanalizacji sanitarnej oraz usuwaniem kolizji na sieciach oraz pracami wykończeniowymi na sieciach i przyłączach oraz studniach, </w:t>
      </w:r>
    </w:p>
    <w:p>
      <w:pPr>
        <w:pStyle w:val="Normal"/>
        <w:numPr>
          <w:ilvl w:val="0"/>
          <w:numId w:val="7"/>
        </w:numPr>
        <w:spacing w:lineRule="auto" w:line="360"/>
        <w:rPr>
          <w:rFonts w:ascii="Arial" w:hAnsi="Arial"/>
          <w:sz w:val="22"/>
          <w:szCs w:val="22"/>
        </w:rPr>
      </w:pPr>
      <w:r>
        <w:rPr>
          <w:rFonts w:ascii="Arial" w:hAnsi="Arial"/>
          <w:sz w:val="22"/>
          <w:szCs w:val="22"/>
        </w:rPr>
        <w:t>pracami związanymi z ustawieniem oświetlenia oraz innymi pracami w zakresie elektryki,</w:t>
      </w:r>
    </w:p>
    <w:p>
      <w:pPr>
        <w:pStyle w:val="Normal"/>
        <w:numPr>
          <w:ilvl w:val="0"/>
          <w:numId w:val="7"/>
        </w:numPr>
        <w:spacing w:lineRule="auto" w:line="360"/>
        <w:rPr>
          <w:rFonts w:ascii="Arial" w:hAnsi="Arial"/>
          <w:sz w:val="22"/>
          <w:szCs w:val="22"/>
        </w:rPr>
      </w:pPr>
      <w:r>
        <w:rPr>
          <w:rFonts w:ascii="Arial" w:hAnsi="Arial"/>
          <w:sz w:val="22"/>
          <w:szCs w:val="22"/>
        </w:rPr>
        <w:t xml:space="preserve">pracami montażu obiektów małej architektury, znaków drogowych oraz pracami wykończeniowymi, </w:t>
      </w:r>
    </w:p>
    <w:p>
      <w:pPr>
        <w:pStyle w:val="Normal"/>
        <w:numPr>
          <w:ilvl w:val="0"/>
          <w:numId w:val="7"/>
        </w:numPr>
        <w:spacing w:lineRule="auto" w:line="360"/>
        <w:rPr>
          <w:rFonts w:ascii="Arial" w:hAnsi="Arial"/>
          <w:sz w:val="22"/>
          <w:szCs w:val="22"/>
        </w:rPr>
      </w:pPr>
      <w:r>
        <w:rPr>
          <w:rFonts w:ascii="Arial" w:hAnsi="Arial"/>
          <w:sz w:val="22"/>
          <w:szCs w:val="22"/>
        </w:rPr>
        <w:t>pracami wykończeniowymi.</w:t>
      </w:r>
    </w:p>
    <w:p>
      <w:pPr>
        <w:pStyle w:val="Normal"/>
        <w:spacing w:lineRule="auto" w:line="360" w:before="120" w:after="0"/>
        <w:contextualSpacing/>
        <w:jc w:val="both"/>
        <w:rPr/>
      </w:pPr>
      <w:r>
        <w:rPr>
          <w:rFonts w:ascii="Arial" w:hAnsi="Arial"/>
          <w:sz w:val="22"/>
          <w:szCs w:val="22"/>
          <w:lang w:val="pl-PL" w:eastAsia="en-US"/>
        </w:rPr>
        <w:t xml:space="preserve">8.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w:t>
        <w:br/>
        <w:t>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spacing w:lineRule="auto" w:line="360" w:before="120" w:after="0"/>
        <w:contextualSpacing/>
        <w:jc w:val="both"/>
        <w:rPr/>
      </w:pPr>
      <w:r>
        <w:rPr>
          <w:rFonts w:ascii="Arial" w:hAnsi="Arial"/>
          <w:sz w:val="22"/>
          <w:szCs w:val="22"/>
          <w:lang w:val="pl-PL" w:eastAsia="en-US"/>
        </w:rPr>
        <w:t xml:space="preserve">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br/>
        <w:t>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4"/>
          <w:szCs w:val="24"/>
          <w:lang w:val="pl-PL" w:eastAsia="zh-CN" w:bidi="ar-SA"/>
        </w:rPr>
        <w:t>10</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7 czynności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cs="Arial" w:ascii="Arial" w:hAnsi="Arial"/>
          <w:color w:val="000000"/>
          <w:kern w:val="0"/>
          <w:sz w:val="22"/>
          <w:szCs w:val="22"/>
          <w:lang w:val="pl-PL" w:eastAsia="zh-CN" w:bidi="ar-SA"/>
        </w:rPr>
        <w:t>7</w:t>
      </w:r>
      <w:r>
        <w:rPr>
          <w:rFonts w:eastAsia="Times New Roman" w:ascii="Arial" w:hAnsi="Arial"/>
          <w:color w:val="000000"/>
          <w:sz w:val="22"/>
          <w:szCs w:val="22"/>
          <w:lang w:val="pl-PL" w:eastAsia="zh-CN"/>
        </w:rPr>
        <w:t xml:space="preserve"> czynności. </w:t>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11.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pPr>
      <w:r>
        <w:rPr>
          <w:rFonts w:ascii="Arial" w:hAnsi="Arial"/>
          <w:sz w:val="22"/>
          <w:szCs w:val="22"/>
          <w:lang w:val="pl-PL" w:eastAsia="en-US"/>
        </w:rPr>
        <w:t>1</w:t>
      </w:r>
      <w:r>
        <w:rPr>
          <w:rFonts w:eastAsia="Calibri" w:cs="Arial" w:ascii="Arial" w:hAnsi="Arial" w:eastAsiaTheme="minorHAnsi"/>
          <w:color w:val="auto"/>
          <w:kern w:val="0"/>
          <w:sz w:val="22"/>
          <w:szCs w:val="22"/>
          <w:lang w:val="pl-PL" w:eastAsia="en-US" w:bidi="ar-SA"/>
        </w:rPr>
        <w:t>2</w:t>
      </w:r>
      <w:r>
        <w:rPr>
          <w:rFonts w:ascii="Arial" w:hAnsi="Arial"/>
          <w:sz w:val="22"/>
          <w:szCs w:val="22"/>
          <w:lang w:val="pl-PL" w:eastAsia="en-US"/>
        </w:rPr>
        <w:t xml:space="preserve">. </w:t>
      </w:r>
      <w:r>
        <w:rPr>
          <w:rFonts w:eastAsia="Times New Roman" w:ascii="Arial" w:hAnsi="Arial"/>
          <w:bCs/>
          <w:color w:val="000000"/>
          <w:sz w:val="22"/>
          <w:szCs w:val="22"/>
          <w:lang w:val="pl-PL"/>
        </w:rPr>
        <w:t xml:space="preserve">W przypadku ujawnienia w trakcie kontroli niespełnienia wymagań dotyczących zatrudnienia pracowników na umowę o pracę, Zamawiający naliczy kary umowne. </w:t>
      </w:r>
    </w:p>
    <w:p>
      <w:pPr>
        <w:pStyle w:val="Normal"/>
        <w:suppressAutoHyphens w:val="true"/>
        <w:spacing w:lineRule="auto" w:line="360"/>
        <w:ind w:left="284" w:hanging="284"/>
        <w:jc w:val="both"/>
        <w:rPr/>
      </w:pPr>
      <w:r>
        <w:rPr>
          <w:rFonts w:eastAsia="Times New Roman" w:ascii="Arial" w:hAnsi="Arial"/>
          <w:bCs/>
          <w:color w:val="000000"/>
          <w:sz w:val="22"/>
          <w:szCs w:val="22"/>
          <w:lang w:val="pl-PL"/>
        </w:rPr>
        <w:t>1</w:t>
      </w:r>
      <w:r>
        <w:rPr>
          <w:rFonts w:eastAsia="Times New Roman" w:cs="Arial" w:ascii="Arial" w:hAnsi="Arial"/>
          <w:bCs/>
          <w:color w:val="000000"/>
          <w:kern w:val="0"/>
          <w:sz w:val="22"/>
          <w:szCs w:val="22"/>
          <w:lang w:val="pl-PL" w:eastAsia="pl-PL" w:bidi="ar-SA"/>
        </w:rPr>
        <w:t>3</w:t>
      </w:r>
      <w:r>
        <w:rPr>
          <w:rFonts w:eastAsia="Times New Roman" w:ascii="Arial" w:hAnsi="Arial"/>
          <w:bCs/>
          <w:color w:val="000000"/>
          <w:sz w:val="22"/>
          <w:szCs w:val="22"/>
          <w:lang w:val="pl-PL"/>
        </w:rPr>
        <w:t>. Zamawiający nie stawia wymagań w zakresie zatrudnienia osób o których mowa w art. 96</w:t>
        <w:br/>
        <w:t>ust. 2 pkt. 2 ustawy Prawo Zamówień publicznych.</w:t>
      </w:r>
    </w:p>
    <w:p>
      <w:pPr>
        <w:pStyle w:val="Normal"/>
        <w:spacing w:lineRule="auto" w:line="360" w:before="240" w:after="0"/>
        <w:jc w:val="left"/>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VI. TERMIN WYKONANIA ZAMÓWIENIA</w:t>
      </w:r>
    </w:p>
    <w:p>
      <w:pPr>
        <w:pStyle w:val="Normal"/>
        <w:suppressAutoHyphens w:val="true"/>
        <w:spacing w:lineRule="auto" w:line="360" w:before="0" w:after="240"/>
        <w:ind w:hanging="0"/>
        <w:jc w:val="both"/>
        <w:rPr/>
      </w:pPr>
      <w:r>
        <w:rPr>
          <w:rFonts w:ascii="Arial" w:hAnsi="Arial"/>
          <w:b w:val="false"/>
          <w:bCs w:val="false"/>
          <w:color w:val="000000"/>
          <w:sz w:val="22"/>
          <w:szCs w:val="22"/>
          <w:lang w:val="pl-PL" w:eastAsia="en-US"/>
        </w:rPr>
        <w:t>Wykonawca zobowiązany jest zrealizować przedmiot zamówienia w terminie 23 tygodni</w:t>
      </w:r>
      <w:r>
        <w:rPr>
          <w:rFonts w:eastAsia="Calibri" w:cs="Arial" w:ascii="Arial" w:hAnsi="Arial"/>
          <w:b w:val="false"/>
          <w:bCs w:val="false"/>
          <w:color w:val="000000"/>
          <w:kern w:val="0"/>
          <w:sz w:val="22"/>
          <w:szCs w:val="22"/>
          <w:lang w:val="pl-PL" w:eastAsia="en-US" w:bidi="ar-SA"/>
        </w:rPr>
        <w:t>, nie później niż do 30.04.2024r. Wykonawca nie rozpocznie prac przed 30.09.2023r. Momentem rozpoczęcia zadania będzie dzień przekazania placu budowy.</w:t>
      </w:r>
    </w:p>
    <w:p>
      <w:pPr>
        <w:pStyle w:val="Normal"/>
        <w:spacing w:lineRule="auto" w:line="360" w:before="240" w:after="0"/>
        <w:jc w:val="left"/>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Style w:val="Czeinternetowe"/>
          <w:rFonts w:eastAsia="Calibri" w:cs="Arial" w:ascii="Arial" w:hAnsi="Arial"/>
          <w:color w:val="0000FF"/>
          <w:kern w:val="0"/>
          <w:sz w:val="22"/>
          <w:szCs w:val="22"/>
          <w:u w:val="single"/>
          <w:lang w:val="pl-PL" w:eastAsia="en-US" w:bidi="ar-SA"/>
        </w:rPr>
        <w:t>iwona.mielewczyk@leba.eu</w:t>
      </w:r>
      <w:r>
        <w:rPr>
          <w:rFonts w:ascii="Arial" w:hAnsi="Arial"/>
          <w:color w:val="000000"/>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0000FF"/>
          <w:kern w:val="0"/>
          <w:sz w:val="22"/>
          <w:szCs w:val="22"/>
          <w:u w:val="single"/>
          <w:lang w:val="pl-PL" w:eastAsia="en-US" w:bidi="ar-SA"/>
        </w:rPr>
        <w:t>iwona.mielewczyk</w:t>
      </w:r>
      <w:r>
        <w:rPr>
          <w:rFonts w:eastAsia="Calibri" w:cs="Arial" w:ascii="Arial" w:hAnsi="Arial"/>
          <w:color w:val="000000"/>
          <w:kern w:val="0"/>
          <w:sz w:val="22"/>
          <w:szCs w:val="22"/>
          <w:lang w:val="pl-PL" w:eastAsia="en-US" w:bidi="ar-SA"/>
        </w:rPr>
        <w:t>@leba.eu</w:t>
      </w:r>
      <w:r>
        <w:rPr>
          <w:rFonts w:ascii="Arial" w:hAnsi="Arial"/>
          <w:color w:val="000000"/>
          <w:sz w:val="22"/>
          <w:szCs w:val="22"/>
          <w:lang w:val="pl-PL"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2. Zamawiający wymaga wykazania przez Wykonawcę spełniania warunków udziału w postępowaniu dotyczące zdolności do należytego wykonania zamówienia w zakresie sytuacji ekonomicznej lub finansowej:</w:t>
      </w:r>
    </w:p>
    <w:p>
      <w:pPr>
        <w:pStyle w:val="Normal"/>
        <w:tabs>
          <w:tab w:val="clear" w:pos="708"/>
          <w:tab w:val="left" w:pos="703" w:leader="none"/>
        </w:tabs>
        <w:spacing w:lineRule="auto" w:line="360"/>
        <w:jc w:val="both"/>
        <w:rPr>
          <w:u w:val="none"/>
        </w:rPr>
      </w:pPr>
      <w:r>
        <w:rPr>
          <w:rFonts w:eastAsia="Century Gothic" w:ascii="Arial" w:hAnsi="Arial"/>
          <w:sz w:val="22"/>
          <w:u w:val="none"/>
          <w:lang w:val="pl-PL"/>
        </w:rPr>
        <w:t>Zamawiający uzna, że Wykonawca znajduje się w sytuacji ekonomicznej lub finansowej niezbędnej do realizacji zamówienia, jeżeli Wykonawca wykaże, że posiada środki finansowe lub zdolność kredytową w wysokości nie niższej niż 5</w:t>
      </w:r>
      <w:r>
        <w:rPr>
          <w:rFonts w:eastAsia="Century Gothic" w:cs="Arial" w:ascii="Arial" w:hAnsi="Arial"/>
          <w:color w:val="auto"/>
          <w:kern w:val="0"/>
          <w:sz w:val="22"/>
          <w:szCs w:val="20"/>
          <w:u w:val="none"/>
          <w:lang w:val="pl-PL" w:eastAsia="pl-PL" w:bidi="ar-SA"/>
        </w:rPr>
        <w:t>00</w:t>
      </w:r>
      <w:r>
        <w:rPr>
          <w:rFonts w:eastAsia="Century Gothic" w:ascii="Arial" w:hAnsi="Arial"/>
          <w:sz w:val="22"/>
          <w:u w:val="none"/>
          <w:lang w:val="pl-PL"/>
        </w:rPr>
        <w:t xml:space="preserve">.000,00 zł (słownie: </w:t>
      </w:r>
      <w:r>
        <w:rPr>
          <w:rFonts w:eastAsia="Century Gothic" w:cs="Arial" w:ascii="Arial" w:hAnsi="Arial"/>
          <w:color w:val="auto"/>
          <w:kern w:val="0"/>
          <w:sz w:val="22"/>
          <w:szCs w:val="20"/>
          <w:u w:val="none"/>
          <w:lang w:val="pl-PL" w:eastAsia="pl-PL" w:bidi="ar-SA"/>
        </w:rPr>
        <w:t>pięćset tysięcy</w:t>
      </w:r>
      <w:r>
        <w:rPr>
          <w:rFonts w:eastAsia="Century Gothic" w:ascii="Arial" w:hAnsi="Arial"/>
          <w:sz w:val="22"/>
          <w:u w:val="none"/>
          <w:lang w:val="pl-PL"/>
        </w:rPr>
        <w:t xml:space="preserve"> złotych 00/100)</w:t>
      </w:r>
    </w:p>
    <w:p>
      <w:pPr>
        <w:pStyle w:val="Normal"/>
        <w:tabs>
          <w:tab w:val="clear" w:pos="708"/>
          <w:tab w:val="left" w:pos="703" w:leader="none"/>
        </w:tabs>
        <w:spacing w:lineRule="auto" w:line="360"/>
        <w:jc w:val="both"/>
        <w:rPr/>
      </w:pPr>
      <w:r>
        <w:rPr>
          <w:rFonts w:eastAsia="Century Gothic" w:ascii="Arial" w:hAnsi="Arial"/>
          <w:sz w:val="22"/>
          <w:lang w:val="pl-PL"/>
        </w:rPr>
        <w:t>UWAGA 1!</w:t>
      </w:r>
    </w:p>
    <w:p>
      <w:pPr>
        <w:pStyle w:val="Normal"/>
        <w:tabs>
          <w:tab w:val="clear" w:pos="708"/>
          <w:tab w:val="left" w:pos="703" w:leader="none"/>
        </w:tabs>
        <w:spacing w:lineRule="auto" w:line="360"/>
        <w:jc w:val="both"/>
        <w:rPr/>
      </w:pPr>
      <w:r>
        <w:rPr>
          <w:rFonts w:eastAsia="Century Gothic" w:ascii="Arial" w:hAnsi="Arial"/>
          <w:sz w:val="22"/>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pPr>
      <w:r>
        <w:rPr>
          <w:rFonts w:eastAsia="Century Gothic" w:ascii="Arial" w:hAnsi="Arial"/>
          <w:sz w:val="22"/>
          <w:lang w:val="pl-PL"/>
        </w:rPr>
        <w:t>W przypadku polegania przez Wykonawcę na zdolnościach podmiotu udostępniającego zasoby,</w:t>
        <w:br/>
        <w:t>w myśl art. 118 ustawy Pzp, powyższy warunek musi spełniać w całości podmiot udostępniający zasoby.</w:t>
      </w:r>
    </w:p>
    <w:p>
      <w:pPr>
        <w:pStyle w:val="Normal"/>
        <w:tabs>
          <w:tab w:val="clear" w:pos="708"/>
          <w:tab w:val="left" w:pos="703" w:leader="none"/>
        </w:tabs>
        <w:spacing w:lineRule="auto" w:line="360"/>
        <w:jc w:val="both"/>
        <w:rPr/>
      </w:pPr>
      <w:r>
        <w:rPr>
          <w:rFonts w:eastAsia="Century Gothic" w:ascii="Arial" w:hAnsi="Arial"/>
          <w:sz w:val="22"/>
          <w:lang w:val="pl-PL"/>
        </w:rPr>
        <w:t>UWAGA 2!</w:t>
      </w:r>
    </w:p>
    <w:p>
      <w:pPr>
        <w:pStyle w:val="Normal"/>
        <w:tabs>
          <w:tab w:val="clear" w:pos="708"/>
          <w:tab w:val="left" w:pos="703" w:leader="none"/>
        </w:tabs>
        <w:spacing w:lineRule="auto" w:line="360"/>
        <w:jc w:val="both"/>
        <w:rPr/>
      </w:pPr>
      <w:r>
        <w:rPr>
          <w:rFonts w:eastAsia="Century Gothic" w:ascii="Arial" w:hAnsi="Arial"/>
          <w:sz w:val="22"/>
          <w:lang w:val="pl-PL"/>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3</w:t>
      </w:r>
      <w:r>
        <w:rPr>
          <w:rFonts w:eastAsia="Century Gothic" w:ascii="Arial" w:hAnsi="Arial"/>
          <w:sz w:val="22"/>
          <w:lang w:val="pl-PL"/>
        </w:rPr>
        <w:t>. Zamawiający wymaga wykazania przez Wykonawcę spełnienia warunków określonych</w:t>
        <w:br/>
        <w:t>w art. 112 ust. 2 ustawy pzp dotyczących zdolności technicznej i zawodowej:</w:t>
      </w:r>
    </w:p>
    <w:p>
      <w:pPr>
        <w:pStyle w:val="Normal"/>
        <w:tabs>
          <w:tab w:val="clear" w:pos="708"/>
          <w:tab w:val="left" w:pos="1143" w:leader="none"/>
        </w:tabs>
        <w:spacing w:lineRule="auto" w:line="360"/>
        <w:jc w:val="both"/>
        <w:rPr>
          <w:highlight w:val="none"/>
          <w:shd w:fill="auto" w:val="clear"/>
        </w:rPr>
      </w:pPr>
      <w:r>
        <w:rPr>
          <w:rFonts w:ascii="Arial" w:hAnsi="Arial"/>
          <w:sz w:val="22"/>
          <w:szCs w:val="22"/>
          <w:shd w:fill="auto" w:val="clear"/>
          <w:lang w:val="pl-PL"/>
        </w:rPr>
        <w:t xml:space="preserve">1) Zamawiający uzna warunek za spełniony jeżeli wykonawca przedstawi wykaz robót                     </w:t>
      </w:r>
      <w:r>
        <w:rPr>
          <w:rFonts w:eastAsia="Calibri" w:cs="Arial" w:ascii="Arial" w:hAnsi="Arial" w:eastAsiaTheme="minorHAnsi"/>
          <w:color w:val="000000"/>
          <w:kern w:val="0"/>
          <w:sz w:val="22"/>
          <w:szCs w:val="22"/>
          <w:shd w:fill="auto" w:val="clear"/>
          <w:lang w:val="pl-PL" w:eastAsia="pl-PL" w:bidi="ar-SA"/>
        </w:rPr>
        <w:t>budowlanych wykonanych nie wcześniej niż w okresie ostatnich 5 lat od dnia w którym upływa termin składania ofert</w:t>
      </w:r>
      <w:r>
        <w:rPr>
          <w:rFonts w:ascii="Arial" w:hAnsi="Arial"/>
          <w:sz w:val="22"/>
          <w:szCs w:val="22"/>
          <w:shd w:fill="auto" w:val="clear"/>
          <w:lang w:val="pl-PL"/>
        </w:rPr>
        <w:t>, a jeżeli okres prowadzenia działalności jest krótszy</w:t>
      </w:r>
      <w:r>
        <w:rPr>
          <w:rFonts w:eastAsia="Century Gothic" w:ascii="Arial" w:hAnsi="Arial"/>
          <w:sz w:val="22"/>
          <w:shd w:fill="auto" w:val="clear"/>
          <w:lang w:val="pl-PL"/>
        </w:rPr>
        <w:t xml:space="preserve"> – w tym okresie minimum jedną robotę budowlaną o wartości min. 5</w:t>
      </w:r>
      <w:r>
        <w:rPr>
          <w:rFonts w:eastAsia="Century Gothic" w:cs="Arial" w:ascii="Arial" w:hAnsi="Arial"/>
          <w:color w:val="000000"/>
          <w:kern w:val="0"/>
          <w:sz w:val="22"/>
          <w:szCs w:val="20"/>
          <w:shd w:fill="auto" w:val="clear"/>
          <w:lang w:val="pl-PL" w:eastAsia="pl-PL" w:bidi="ar-SA"/>
        </w:rPr>
        <w:t>00.</w:t>
      </w:r>
      <w:r>
        <w:rPr>
          <w:rFonts w:eastAsia="Century Gothic" w:ascii="Arial" w:hAnsi="Arial"/>
          <w:sz w:val="22"/>
          <w:shd w:fill="auto" w:val="clear"/>
          <w:lang w:val="pl-PL"/>
        </w:rPr>
        <w:t xml:space="preserve">000,00 zł brutto (słownie: pięćset tysięcy złotych), </w:t>
      </w:r>
      <w:r>
        <w:rPr>
          <w:rFonts w:eastAsia="Century Gothic" w:cs="Arial" w:ascii="Arial" w:hAnsi="Arial"/>
          <w:color w:val="000000"/>
          <w:kern w:val="0"/>
          <w:sz w:val="22"/>
          <w:szCs w:val="20"/>
          <w:shd w:fill="auto" w:val="clear"/>
          <w:lang w:val="pl-PL" w:eastAsia="pl-PL" w:bidi="ar-SA"/>
        </w:rPr>
        <w:t>która w swoim zakresie miała</w:t>
      </w:r>
      <w:r>
        <w:rPr>
          <w:rFonts w:eastAsia="Century Gothic" w:ascii="Arial" w:hAnsi="Arial"/>
          <w:sz w:val="22"/>
          <w:shd w:fill="auto" w:val="clear"/>
          <w:lang w:val="pl-PL"/>
        </w:rPr>
        <w:t xml:space="preserve"> budowę lub przebudowę </w:t>
      </w:r>
      <w:r>
        <w:rPr>
          <w:rFonts w:eastAsia="Century Gothic" w:cs="Arial" w:ascii="Arial" w:hAnsi="Arial"/>
          <w:color w:val="000000"/>
          <w:kern w:val="0"/>
          <w:sz w:val="22"/>
          <w:szCs w:val="20"/>
          <w:shd w:fill="auto" w:val="clear"/>
          <w:lang w:val="pl-PL" w:eastAsia="pl-PL" w:bidi="ar-SA"/>
        </w:rPr>
        <w:t>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(t.j. Dz. U. z 2023r., poz. 682, z późn. zm.)</w:t>
      </w:r>
      <w:r>
        <w:rPr>
          <w:rFonts w:eastAsia="Century Gothic" w:ascii="Arial" w:hAnsi="Arial"/>
          <w:sz w:val="22"/>
          <w:shd w:fill="auto" w:val="clear"/>
          <w:lang w:val="pl-PL"/>
        </w:rPr>
        <w:t>.</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w:t>
        <w:br/>
        <w:t>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minimum jedną robotę budowlaną</w:t>
      </w:r>
      <w:r>
        <w:rPr>
          <w:rFonts w:eastAsia="Century Gothic" w:ascii="Arial" w:hAnsi="Arial"/>
          <w:sz w:val="22"/>
          <w:shd w:fill="auto" w:val="clear"/>
          <w:lang w:val="pl-PL"/>
        </w:rPr>
        <w:t xml:space="preserve"> o wartości min. 5</w:t>
      </w:r>
      <w:r>
        <w:rPr>
          <w:rFonts w:eastAsia="Century Gothic" w:cs="Arial" w:ascii="Arial" w:hAnsi="Arial"/>
          <w:color w:val="000000"/>
          <w:kern w:val="0"/>
          <w:sz w:val="22"/>
          <w:szCs w:val="20"/>
          <w:shd w:fill="auto" w:val="clear"/>
          <w:lang w:val="pl-PL" w:eastAsia="pl-PL" w:bidi="ar-SA"/>
        </w:rPr>
        <w:t>0</w:t>
      </w:r>
      <w:r>
        <w:rPr>
          <w:rFonts w:eastAsia="Century Gothic" w:ascii="Arial" w:hAnsi="Arial"/>
          <w:sz w:val="22"/>
          <w:shd w:fill="auto" w:val="clear"/>
          <w:lang w:val="pl-PL"/>
        </w:rPr>
        <w:t xml:space="preserve">0 000,00 zł brutto (słownie: </w:t>
      </w:r>
      <w:r>
        <w:rPr>
          <w:rFonts w:eastAsia="Century Gothic" w:cs="Arial" w:ascii="Arial" w:hAnsi="Arial"/>
          <w:color w:val="000000"/>
          <w:kern w:val="0"/>
          <w:sz w:val="22"/>
          <w:szCs w:val="20"/>
          <w:shd w:fill="auto" w:val="clear"/>
          <w:lang w:val="pl-PL" w:eastAsia="pl-PL" w:bidi="ar-SA"/>
        </w:rPr>
        <w:t>pięćset tysięcy</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 budowę lub przebudowę 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 j. Dz. U. z 2023 r. poz. 682, z późn. zm.)</w:t>
      </w:r>
      <w:r>
        <w:rPr>
          <w:rFonts w:eastAsia="Century Gothic" w:ascii="Arial" w:hAnsi="Arial"/>
          <w:sz w:val="22"/>
          <w:shd w:fill="auto" w:val="clear"/>
          <w:lang w:val="pl-PL"/>
        </w:rPr>
        <w:t xml:space="preserve"> -</w:t>
      </w:r>
      <w:r>
        <w:rPr>
          <w:rFonts w:eastAsia="Century Gothic" w:ascii="Arial" w:hAnsi="Arial"/>
          <w:color w:val="00000A"/>
          <w:sz w:val="22"/>
          <w:shd w:fill="auto" w:val="clear"/>
          <w:lang w:val="pl-PL"/>
        </w:rPr>
        <w:t xml:space="preserve"> </w:t>
      </w:r>
      <w:r>
        <w:rPr>
          <w:rFonts w:eastAsia="Century Gothic" w:ascii="Arial" w:hAnsi="Arial"/>
          <w:color w:val="333333"/>
          <w:sz w:val="22"/>
          <w:shd w:fill="auto" w:val="clear"/>
          <w:lang w:val="pl-PL"/>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eastAsia="Century Gothic" w:ascii="Arial" w:hAnsi="Arial"/>
          <w:color w:val="00000A"/>
          <w:sz w:val="22"/>
          <w:shd w:fill="auto" w:val="clear"/>
          <w:lang w:val="pl-PL"/>
        </w:rPr>
        <w:t xml:space="preserve"> </w:t>
      </w:r>
      <w:r>
        <w:rPr>
          <w:rFonts w:eastAsia="Century Gothic" w:ascii="Arial" w:hAnsi="Arial"/>
          <w:b/>
          <w:color w:val="00000A"/>
          <w:sz w:val="22"/>
          <w:shd w:fill="auto" w:val="clear"/>
          <w:lang w:val="pl-PL"/>
        </w:rPr>
        <w:t>(</w:t>
      </w:r>
      <w:r>
        <w:rPr>
          <w:rFonts w:eastAsia="Century Gothic" w:ascii="Arial" w:hAnsi="Arial"/>
          <w:color w:val="00000A"/>
          <w:sz w:val="22"/>
          <w:shd w:fill="auto" w:val="clear"/>
          <w:lang w:val="pl-PL"/>
        </w:rPr>
        <w:t>wzór wykazu - załącznik nr 5 do SWZ</w:t>
      </w:r>
      <w:r>
        <w:rPr>
          <w:rFonts w:eastAsia="Century Gothic" w:ascii="Arial" w:hAnsi="Arial"/>
          <w:b/>
          <w:color w:val="00000A"/>
          <w:sz w:val="22"/>
          <w:shd w:fill="auto" w:val="clear"/>
          <w:lang w:val="pl-PL"/>
        </w:rPr>
        <w:t>);</w:t>
      </w:r>
    </w:p>
    <w:p>
      <w:pPr>
        <w:pStyle w:val="Normal"/>
        <w:tabs>
          <w:tab w:val="clear" w:pos="708"/>
          <w:tab w:val="left" w:pos="986" w:leader="none"/>
        </w:tabs>
        <w:spacing w:lineRule="auto" w:line="360"/>
        <w:jc w:val="both"/>
        <w:rPr/>
      </w:pPr>
      <w:r>
        <w:rPr>
          <w:rFonts w:eastAsia="Century Gothic" w:ascii="Arial" w:hAnsi="Arial"/>
          <w:b w:val="false"/>
          <w:bCs w:val="false"/>
          <w:color w:val="00000A"/>
          <w:sz w:val="22"/>
          <w:shd w:fill="auto" w:val="clear"/>
          <w:lang w:val="pl-PL"/>
        </w:rPr>
        <w:t xml:space="preserve">2) </w:t>
      </w:r>
      <w:r>
        <w:rPr>
          <w:rFonts w:eastAsia="Century Gothic" w:ascii="Arial" w:hAnsi="Arial"/>
          <w:b w:val="false"/>
          <w:bCs w:val="false"/>
          <w:color w:val="00000A"/>
          <w:sz w:val="22"/>
          <w:u w:val="single"/>
          <w:shd w:fill="auto" w:val="clear"/>
          <w:lang w:val="pl-PL"/>
        </w:rPr>
        <w:t>informacji banku lub spółdzielczej kasy oszczędnościowo-kredytowej</w:t>
      </w:r>
      <w:r>
        <w:rPr>
          <w:rFonts w:eastAsia="Century Gothic" w:ascii="Arial" w:hAnsi="Arial"/>
          <w:b w:val="false"/>
          <w:bCs w:val="false"/>
          <w:color w:val="00000A"/>
          <w:sz w:val="22"/>
          <w:shd w:fill="auto" w:val="clear"/>
          <w:lang w:val="pl-PL"/>
        </w:rPr>
        <w:t xml:space="preserve"> potwierdzającej wysokość posiadanych środków finansowych lub zdolność kredytową Wykonawcy, w okresie nie wcześniejszym niż 3 miesiące przed jej złożeniem</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1. Wykonawca jest związany ofertą od dnia upływu terminu składania ofe</w:t>
      </w:r>
      <w:r>
        <w:rPr>
          <w:rFonts w:ascii="Arial" w:hAnsi="Arial"/>
          <w:color w:val="000000"/>
          <w:sz w:val="22"/>
          <w:szCs w:val="22"/>
          <w:shd w:fill="auto" w:val="clear"/>
          <w:lang w:val="pl-PL" w:eastAsia="en-US"/>
        </w:rPr>
        <w:t>rt do dnia 17.06</w:t>
      </w:r>
      <w:r>
        <w:rPr>
          <w:rFonts w:eastAsia="Calibri" w:cs="Arial" w:ascii="Arial" w:hAnsi="Arial"/>
          <w:b w:val="false"/>
          <w:bCs w:val="false"/>
          <w:color w:val="000000"/>
          <w:kern w:val="0"/>
          <w:sz w:val="22"/>
          <w:szCs w:val="22"/>
          <w:shd w:fill="auto" w:val="clear"/>
          <w:lang w:val="pl-PL" w:eastAsia="en-US" w:bidi="ar-SA"/>
        </w:rPr>
        <w:t>.2023</w:t>
      </w:r>
      <w:r>
        <w:rPr>
          <w:rFonts w:ascii="Arial" w:hAnsi="Arial"/>
          <w:b w:val="false"/>
          <w:bCs w:val="false"/>
          <w:color w:val="000000"/>
          <w:sz w:val="22"/>
          <w:szCs w:val="22"/>
          <w:shd w:fill="auto" w:val="clear"/>
          <w:lang w:val="pl-PL" w:eastAsia="en-US"/>
        </w:rPr>
        <w:t>r.</w:t>
      </w:r>
    </w:p>
    <w:p>
      <w:pPr>
        <w:pStyle w:val="Normal"/>
        <w:spacing w:lineRule="auto" w:line="360" w:before="0" w:after="142"/>
        <w:jc w:val="both"/>
        <w:rPr/>
      </w:pPr>
      <w:r>
        <w:rPr>
          <w:rFonts w:ascii="Arial" w:hAnsi="Arial"/>
          <w:color w:val="000000"/>
          <w:sz w:val="22"/>
          <w:szCs w:val="22"/>
          <w:shd w:fill="auto" w:val="clear"/>
          <w:lang w:val="pl-PL" w:eastAsia="en-US"/>
        </w:rPr>
        <w:t>2. W przypadku gdy wybór najkorzystniejszej oferty nie nastąpi przed upływem terminu związania</w:t>
      </w:r>
      <w:r>
        <w:rPr>
          <w:rFonts w:ascii="Arial" w:hAnsi="Arial"/>
          <w:color w:val="000000"/>
          <w:sz w:val="22"/>
          <w:szCs w:val="22"/>
          <w:lang w:val="pl-PL" w:eastAsia="en-US"/>
        </w:rPr>
        <w:t xml:space="preserve">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sz w:val="22"/>
          <w:szCs w:val="22"/>
          <w:lang w:val="pl-PL" w:eastAsia="en-US"/>
        </w:rPr>
        <w:t xml:space="preserve">9.3. </w:t>
      </w:r>
      <w:r>
        <w:rPr>
          <w:rFonts w:eastAsia="Century Gothic" w:ascii="Arial" w:hAnsi="Arial"/>
          <w:b w:val="false"/>
          <w:bCs w:val="false"/>
          <w:color w:val="333333"/>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9.5. W przypadku polegania przez Wykonawcę na zdolnościach lub sytuacji podmiotów udostępniających zasoby, Wykonawca przedstawia, wraz z oświadczeniem, o którym mowa w dziale VIII ust. 6</w:t>
      </w:r>
      <w:r>
        <w:rPr>
          <w:rFonts w:eastAsia="Century Gothic" w:cs="Arial" w:ascii="Arial" w:hAnsi="Arial"/>
          <w:color w:val="auto"/>
          <w:kern w:val="0"/>
          <w:sz w:val="22"/>
          <w:szCs w:val="22"/>
          <w:lang w:val="pl-PL" w:eastAsia="pl-PL" w:bidi="ar-SA"/>
        </w:rPr>
        <w:t xml:space="preserve">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highlight w:val="none"/>
          <w:shd w:fill="auto" w:val="clear"/>
        </w:rPr>
      </w:pPr>
      <w:r>
        <w:rPr>
          <w:rFonts w:eastAsia="Century Gothic" w:ascii="Arial" w:hAnsi="Arial"/>
          <w:sz w:val="22"/>
          <w:szCs w:val="22"/>
          <w:shd w:fill="auto" w:val="clear"/>
          <w:lang w:val="pl-PL"/>
        </w:rPr>
        <w:t xml:space="preserve">9.8. </w:t>
      </w:r>
      <w:r>
        <w:rPr>
          <w:rFonts w:eastAsia="Century Gothic" w:ascii="Arial" w:hAnsi="Arial"/>
          <w:b w:val="false"/>
          <w:bCs w:val="false"/>
          <w:color w:val="333333"/>
          <w:sz w:val="22"/>
          <w:szCs w:val="22"/>
          <w:shd w:fill="auto" w:val="clear"/>
          <w:lang w:val="pl-PL"/>
        </w:rPr>
        <w:t xml:space="preserve">Wykonawca dołącza do oferty oświadczenie, </w:t>
      </w:r>
      <w:r>
        <w:rPr>
          <w:rFonts w:eastAsia="Century Gothic" w:ascii="Arial" w:hAnsi="Arial"/>
          <w:b w:val="false"/>
          <w:bCs w:val="false"/>
          <w:caps w:val="false"/>
          <w:smallCaps w:val="false"/>
          <w:color w:val="333333"/>
          <w:sz w:val="22"/>
          <w:szCs w:val="22"/>
          <w:shd w:fill="auto" w:val="clear"/>
          <w:lang w:val="pl-PL"/>
        </w:rPr>
        <w:t>UWZGLĘDNIAJĄCE</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PRZESŁANKI WYKLUCZENIA Z</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ART</w:t>
      </w:r>
      <w:r>
        <w:rPr>
          <w:rFonts w:eastAsia="Century Gothic" w:ascii="Arial" w:hAnsi="Arial"/>
          <w:b w:val="false"/>
          <w:bCs w:val="false"/>
          <w:color w:val="333333"/>
          <w:sz w:val="22"/>
          <w:szCs w:val="22"/>
          <w:shd w:fill="auto" w:val="clear"/>
          <w:lang w:val="pl-PL"/>
        </w:rPr>
        <w:t xml:space="preserve">. 7 </w:t>
      </w:r>
      <w:r>
        <w:rPr>
          <w:rFonts w:eastAsia="Century Gothic" w:ascii="Arial" w:hAnsi="Arial"/>
          <w:b w:val="false"/>
          <w:bCs w:val="false"/>
          <w:caps w:val="false"/>
          <w:smallCaps w:val="false"/>
          <w:color w:val="333333"/>
          <w:sz w:val="22"/>
          <w:szCs w:val="22"/>
          <w:shd w:fill="auto" w:val="clear"/>
          <w:lang w:val="pl-PL"/>
        </w:rPr>
        <w:t>UST.</w:t>
      </w:r>
      <w:r>
        <w:rPr>
          <w:rFonts w:eastAsia="Century Gothic" w:ascii="Arial" w:hAnsi="Arial"/>
          <w:b w:val="false"/>
          <w:bCs w:val="false"/>
          <w:color w:val="333333"/>
          <w:sz w:val="22"/>
          <w:szCs w:val="22"/>
          <w:shd w:fill="auto" w:val="clear"/>
          <w:lang w:val="pl-PL"/>
        </w:rPr>
        <w:t xml:space="preserve"> 1 U</w:t>
      </w:r>
      <w:r>
        <w:rPr>
          <w:rFonts w:eastAsia="Century Gothic" w:ascii="Arial" w:hAnsi="Arial"/>
          <w:b w:val="false"/>
          <w:bCs w:val="false"/>
          <w:caps w:val="false"/>
          <w:smallCaps w:val="false"/>
          <w:color w:val="333333"/>
          <w:sz w:val="22"/>
          <w:szCs w:val="22"/>
          <w:shd w:fill="auto" w:val="clear"/>
          <w:lang w:val="pl-PL"/>
        </w:rPr>
        <w:t xml:space="preserve">STAWY </w:t>
      </w:r>
      <w:r>
        <w:rPr>
          <w:rFonts w:eastAsia="Century Gothic" w:ascii="Arial" w:hAnsi="Arial"/>
          <w:b w:val="false"/>
          <w:bCs w:val="false"/>
          <w:color w:val="333333"/>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333333"/>
          <w:kern w:val="0"/>
          <w:sz w:val="22"/>
          <w:szCs w:val="22"/>
          <w:shd w:fill="auto" w:val="clear"/>
          <w:lang w:val="pl-PL" w:eastAsia="pl-PL" w:bidi="ar-SA"/>
        </w:rPr>
        <w:t>ział VIII ust. 6</w:t>
      </w:r>
      <w:r>
        <w:rPr>
          <w:rFonts w:eastAsia="Century Gothic" w:ascii="Arial" w:hAnsi="Arial"/>
          <w:b w:val="false"/>
          <w:bCs w:val="false"/>
          <w:color w:val="333333"/>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b w:val="false"/>
          <w:bCs w:val="false"/>
        </w:rPr>
      </w:pPr>
      <w:r>
        <w:rPr>
          <w:rFonts w:eastAsia="Century Gothic" w:ascii="Arial" w:hAnsi="Arial"/>
          <w:b w:val="false"/>
          <w:bCs w:val="false"/>
          <w:sz w:val="22"/>
          <w:lang w:val="pl-PL"/>
        </w:rPr>
        <w:t xml:space="preserve">11. </w:t>
      </w:r>
      <w:r>
        <w:rPr>
          <w:rFonts w:eastAsia="Century Gothic" w:ascii="Arial" w:hAnsi="Arial"/>
          <w:b w:val="false"/>
          <w:bCs w:val="false"/>
          <w:color w:val="333333"/>
          <w:sz w:val="22"/>
          <w:lang w:val="pl-PL"/>
        </w:rPr>
        <w:t>Termin składania ofert upływa w dniu 19.05</w:t>
      </w:r>
      <w:r>
        <w:rPr>
          <w:rFonts w:eastAsia="Century Gothic" w:cs="Arial" w:ascii="Arial" w:hAnsi="Arial"/>
          <w:b w:val="false"/>
          <w:bCs w:val="false"/>
          <w:color w:val="333333"/>
          <w:kern w:val="0"/>
          <w:sz w:val="22"/>
          <w:szCs w:val="20"/>
          <w:lang w:val="pl-PL" w:eastAsia="pl-PL" w:bidi="ar-SA"/>
        </w:rPr>
        <w:t>.2023</w:t>
      </w:r>
      <w:r>
        <w:rPr>
          <w:rFonts w:eastAsia="Century Gothic" w:ascii="Arial" w:hAnsi="Arial"/>
          <w:b w:val="false"/>
          <w:bCs w:val="false"/>
          <w:color w:val="333333"/>
          <w:sz w:val="22"/>
          <w:lang w:val="pl-PL"/>
        </w:rPr>
        <w:t>r., o godz. 11:00. Decyduje data oraz dokładny czas (hh:mm:ss) generowany wg czasu lokalnego serwera synchronizowanego zegarem Głównego Urzędu Miar.</w:t>
      </w:r>
    </w:p>
    <w:p>
      <w:pPr>
        <w:pStyle w:val="Normal"/>
        <w:spacing w:lineRule="auto" w:line="360"/>
        <w:jc w:val="both"/>
        <w:rPr>
          <w:b w:val="false"/>
          <w:bCs w:val="false"/>
        </w:rPr>
      </w:pPr>
      <w:r>
        <w:rPr>
          <w:rFonts w:eastAsia="Century Gothic" w:ascii="Arial" w:hAnsi="Arial"/>
          <w:b w:val="false"/>
          <w:bCs w:val="false"/>
          <w:sz w:val="22"/>
          <w:lang w:val="pl-PL"/>
        </w:rPr>
        <w:t>12. Oferta złożona po terminie zostanie odrzucona na podstawie art. 226 ust. 1 pkt 1 Ustawy pzp.</w:t>
      </w:r>
    </w:p>
    <w:p>
      <w:pPr>
        <w:pStyle w:val="Normal"/>
        <w:spacing w:lineRule="auto" w:line="360"/>
        <w:jc w:val="both"/>
        <w:rPr>
          <w:b w:val="false"/>
          <w:bCs w:val="false"/>
        </w:rPr>
      </w:pPr>
      <w:r>
        <w:rPr>
          <w:rFonts w:eastAsia="Century Gothic" w:ascii="Arial" w:hAnsi="Arial"/>
          <w:b w:val="false"/>
          <w:bCs w:val="false"/>
          <w:sz w:val="22"/>
          <w:lang w:val="pl-PL"/>
        </w:rPr>
        <w:t xml:space="preserve">13. Wykonawca przed upływem terminu do składania ofert może zmienić lub wycofać ofertę. </w:t>
      </w:r>
    </w:p>
    <w:p>
      <w:pPr>
        <w:pStyle w:val="Normal"/>
        <w:spacing w:lineRule="auto" w:line="360"/>
        <w:jc w:val="both"/>
        <w:rPr/>
      </w:pPr>
      <w:r>
        <w:rPr>
          <w:rFonts w:eastAsia="Century Gothic" w:ascii="Arial" w:hAnsi="Arial"/>
          <w:sz w:val="22"/>
          <w:lang w:val="pl-PL"/>
        </w:rPr>
        <w:t>14. Wykonawca nie może skutecznie wycofać oferty ani wprowadzić zmian w treści oferty po upływie terminu składania ofert.</w:t>
      </w:r>
    </w:p>
    <w:p>
      <w:pPr>
        <w:pStyle w:val="Normal"/>
        <w:spacing w:lineRule="auto" w:line="360" w:before="240" w:after="0"/>
        <w:jc w:val="left"/>
        <w:rPr>
          <w:highlight w:val="none"/>
          <w:shd w:fill="auto" w:val="clear"/>
        </w:rPr>
      </w:pPr>
      <w:r>
        <w:rPr>
          <w:rFonts w:eastAsia="Century Gothic" w:ascii="Arial" w:hAnsi="Arial"/>
          <w:b/>
          <w:sz w:val="24"/>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highlight w:val="none"/>
          <w:shd w:fill="auto" w:val="clear"/>
        </w:rPr>
      </w:pPr>
      <w:r>
        <w:rPr>
          <w:rFonts w:eastAsia="Century Gothic" w:ascii="Arial" w:hAnsi="Arial"/>
          <w:b w:val="false"/>
          <w:bCs w:val="false"/>
          <w:sz w:val="22"/>
          <w:shd w:fill="auto" w:val="clear"/>
          <w:lang w:val="pl-PL"/>
        </w:rPr>
        <w:t>1. Otwarcie ofert nastąpi niezwłocznie po upływie terminu składania ofert, tj. w dniu 19.05</w:t>
      </w:r>
      <w:r>
        <w:rPr>
          <w:rFonts w:eastAsia="Century Gothic" w:cs="Arial" w:ascii="Arial" w:hAnsi="Arial"/>
          <w:b w:val="false"/>
          <w:bCs w:val="false"/>
          <w:color w:val="000000"/>
          <w:kern w:val="0"/>
          <w:sz w:val="22"/>
          <w:szCs w:val="20"/>
          <w:shd w:fill="auto" w:val="clear"/>
          <w:lang w:val="pl-PL" w:eastAsia="pl-PL" w:bidi="ar-SA"/>
        </w:rPr>
        <w:t>.2023</w:t>
      </w:r>
      <w:r>
        <w:rPr>
          <w:rFonts w:eastAsia="Century Gothic" w:ascii="Arial" w:hAnsi="Arial"/>
          <w:b w:val="false"/>
          <w:bCs w:val="false"/>
          <w:sz w:val="22"/>
          <w:shd w:fill="auto" w:val="clear"/>
          <w:lang w:val="pl-PL"/>
        </w:rPr>
        <w:t>r roku o godz. 11:05</w:t>
      </w:r>
      <w:bookmarkStart w:id="1" w:name="_GoBack"/>
      <w:bookmarkEnd w:id="1"/>
      <w:r>
        <w:rPr>
          <w:rFonts w:eastAsia="Century Gothic" w:ascii="Arial" w:hAnsi="Arial"/>
          <w:b w:val="false"/>
          <w:bCs w:val="false"/>
          <w:sz w:val="22"/>
          <w:shd w:fill="auto" w:val="clear"/>
          <w:lang w:val="pl-PL"/>
        </w:rPr>
        <w:t xml:space="preserve">. </w:t>
      </w:r>
      <w:r>
        <w:rPr>
          <w:rFonts w:eastAsia="Century Gothic" w:ascii="Arial" w:hAnsi="Arial"/>
          <w:sz w:val="22"/>
          <w:shd w:fill="auto" w:val="clear"/>
          <w:lang w:val="pl-PL"/>
        </w:rPr>
        <w:t>Otwarcie ofert dokonywane jest przez odszyfrowanie i</w:t>
      </w:r>
      <w:r>
        <w:rPr>
          <w:rFonts w:eastAsia="Century Gothic" w:ascii="Arial" w:hAnsi="Arial"/>
          <w:b/>
          <w:sz w:val="22"/>
          <w:shd w:fill="auto" w:val="clear"/>
          <w:lang w:val="pl-PL"/>
        </w:rPr>
        <w:t xml:space="preserve"> </w:t>
      </w:r>
      <w:r>
        <w:rPr>
          <w:rFonts w:eastAsia="Century Gothic" w:ascii="Arial" w:hAnsi="Arial"/>
          <w:sz w:val="22"/>
          <w:shd w:fill="auto" w:val="clear"/>
          <w:lang w:val="pl-PL"/>
        </w:rPr>
        <w:t>otwarcie ofert.</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shd w:fill="auto" w:val="clear"/>
        </w:rPr>
        <w:t>2. Zamawiający, najpóźniej przed otwarciem ofert, udostępni na stronie inte</w:t>
      </w:r>
      <w:r>
        <w:rPr>
          <w:rFonts w:eastAsia="Century Gothic" w:ascii="Arial" w:hAnsi="Arial"/>
          <w:sz w:val="22"/>
        </w:rPr>
        <w:t>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 xml:space="preserve"> </w:t>
      </w: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kopię polisy OC na kwotę minimum</w:t>
      </w:r>
      <w:r>
        <w:rPr>
          <w:rFonts w:eastAsia="Century Gothic" w:ascii="Arial" w:hAnsi="Arial"/>
          <w:sz w:val="22"/>
          <w:shd w:fill="auto" w:val="clear"/>
          <w:lang w:val="pl-PL"/>
        </w:rPr>
        <w:t xml:space="preserve"> 5</w:t>
      </w:r>
      <w:r>
        <w:rPr>
          <w:rFonts w:eastAsia="Century Gothic" w:cs="Arial" w:ascii="Arial" w:hAnsi="Arial"/>
          <w:color w:val="000000"/>
          <w:kern w:val="0"/>
          <w:sz w:val="22"/>
          <w:szCs w:val="20"/>
          <w:shd w:fill="auto" w:val="clear"/>
          <w:lang w:val="pl-PL" w:eastAsia="pl-PL" w:bidi="ar-SA"/>
        </w:rPr>
        <w:t>00</w:t>
      </w:r>
      <w:r>
        <w:rPr>
          <w:rFonts w:eastAsia="Century Gothic" w:ascii="Arial" w:hAnsi="Arial"/>
          <w:sz w:val="22"/>
          <w:shd w:fill="auto" w:val="clear"/>
          <w:lang w:val="pl-PL"/>
        </w:rPr>
        <w:t>.000,00zł. Pr</w:t>
      </w:r>
      <w:r>
        <w:rPr>
          <w:rFonts w:eastAsia="Century Gothic" w:ascii="Arial" w:hAnsi="Arial"/>
          <w:sz w:val="22"/>
          <w:lang w:val="pl-PL"/>
        </w:rPr>
        <w:t>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ul.</w:t>
            </w:r>
            <w:r>
              <w:rPr>
                <w:rFonts w:eastAsia="HG Mincho Light J;Times New Roman" w:cs="Times New Roman" w:ascii="Arial" w:hAnsi="Arial"/>
                <w:color w:val="000000"/>
                <w:sz w:val="22"/>
                <w:szCs w:val="22"/>
                <w:lang w:val="pl-PL" w:bidi="ar-SA"/>
              </w:rPr>
              <w:t xml:space="preserve">Kościuszki 90, </w:t>
              <w:br/>
              <w:t>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w:t>
            </w:r>
            <w:r>
              <w:rPr>
                <w:rFonts w:eastAsia="HG Mincho Light J;Times New Roman" w:cs="Times New Roman" w:ascii="Arial" w:hAnsi="Arial"/>
                <w:color w:val="000000"/>
                <w:sz w:val="22"/>
                <w:szCs w:val="22"/>
                <w:lang w:val="pl-PL" w:bidi="ar-SA"/>
              </w:rPr>
              <w:t>1843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left"/>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left"/>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left"/>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Iwona Mielewczyk</w:t>
      </w:r>
      <w:r>
        <w:rPr>
          <w:rFonts w:ascii="Arial" w:hAnsi="Arial"/>
          <w:b w:val="false"/>
          <w:bCs w:val="false"/>
          <w:sz w:val="22"/>
          <w:szCs w:val="22"/>
          <w:lang w:val="pl-PL"/>
        </w:rPr>
        <w:t xml:space="preserve"> </w:t>
      </w:r>
      <w:r>
        <w:rPr>
          <w:rStyle w:val="Czeinternetowe"/>
          <w:rFonts w:eastAsia="Calibri" w:cs="Arial" w:ascii="Arial" w:hAnsi="Arial"/>
          <w:b w:val="false"/>
          <w:bCs w:val="false"/>
          <w:color w:val="0000FF"/>
          <w:kern w:val="0"/>
          <w:sz w:val="22"/>
          <w:szCs w:val="22"/>
          <w:u w:val="single"/>
          <w:lang w:val="pl-PL" w:eastAsia="en-US" w:bidi="ar-SA"/>
        </w:rPr>
        <w:t>iwona.mielewczyk</w:t>
      </w:r>
      <w:r>
        <w:rPr>
          <w:rStyle w:val="Czeinternetowe"/>
          <w:rFonts w:ascii="Arial" w:hAnsi="Arial"/>
          <w:b w:val="false"/>
          <w:bCs w:val="false"/>
          <w:sz w:val="22"/>
          <w:szCs w:val="22"/>
          <w:lang w:val="pl-PL"/>
        </w:rPr>
        <w:t>@leba.eu</w:t>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2. Zamawiający nie dopuszcza składanie ofert wariantowych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przewiduje zawarcia umowy ramowej</w:t>
      </w:r>
    </w:p>
    <w:p>
      <w:pPr>
        <w:pStyle w:val="Normal"/>
        <w:spacing w:lineRule="auto" w:line="360"/>
        <w:rPr>
          <w:rFonts w:ascii="Arial" w:hAnsi="Arial"/>
          <w:b/>
          <w:sz w:val="22"/>
          <w:szCs w:val="22"/>
          <w:lang w:val="pl-PL"/>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6. Zamawiający nie przewiduje rozliczenia w walutach obcych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7. Zamawiający nie przewiduje zwrotu kosztów udziału w postępowaniu.</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rPr>
          <w:rFonts w:ascii="Arial" w:hAnsi="Arial"/>
          <w:b w:val="false"/>
          <w:bCs w:val="false"/>
          <w:sz w:val="22"/>
          <w:szCs w:val="22"/>
          <w:lang w:val="pl-PL"/>
        </w:rPr>
      </w:pPr>
      <w:r>
        <w:rPr>
          <w:rFonts w:ascii="Arial" w:hAnsi="Arial"/>
          <w:b w:val="false"/>
          <w:bCs w:val="false"/>
          <w:color w:val="auto"/>
          <w:sz w:val="22"/>
          <w:szCs w:val="22"/>
          <w:lang w:val="pl-PL"/>
        </w:rPr>
        <w:t>10. Zadanie inwestycyjne jest dofinansowane jest ze środków Rządowego Funduszu Rozwoju Dróg i Wykonawca zobowiązany jest do zapoznania się z zasadami Programu i przestrzegania jego zasad.</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5"/>
          <w:footerReference w:type="default" r:id="rId6"/>
          <w:type w:val="nextPage"/>
          <w:pgSz w:w="11906" w:h="16838"/>
          <w:pgMar w:left="1280" w:right="986" w:gutter="0" w:header="900" w:top="1427"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7"/>
          <w:headerReference w:type="first" r:id="rId8"/>
          <w:footerReference w:type="default" r:id="rId9"/>
          <w:footerReference w:type="first" r:id="rId10"/>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tbl>
      <w:tblPr>
        <w:tblW w:w="9076"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4"/>
        <w:gridCol w:w="5531"/>
      </w:tblGrid>
      <w:tr>
        <w:trPr>
          <w:trHeight w:val="767" w:hRule="atLeast"/>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5531"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r>
          </w:p>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w:t>
      </w:r>
      <w:r>
        <w:rPr>
          <w:rFonts w:eastAsia="Century Gothic" w:cs="Arial" w:ascii="Arial" w:hAnsi="Arial"/>
          <w:b/>
          <w:bCs/>
          <w:sz w:val="22"/>
          <w:szCs w:val="22"/>
          <w:lang w:val="pl-PL"/>
        </w:rPr>
        <w:t>B</w:t>
      </w:r>
      <w:r>
        <w:rPr>
          <w:rFonts w:eastAsia="Lucida Sans Unicode" w:cs="Arial" w:ascii="Arial" w:hAnsi="Arial"/>
          <w:b/>
          <w:bCs/>
          <w:color w:val="auto"/>
          <w:kern w:val="2"/>
          <w:sz w:val="22"/>
          <w:szCs w:val="22"/>
          <w:lang w:val="pl-PL" w:eastAsia="zh-CN" w:bidi="pl-PL"/>
        </w:rPr>
        <w:t xml:space="preserve">udowa przedłużenia ul. Piotra Wysockiego w Łebie na wschód od Alei </w:t>
        <w:br/>
        <w:t>Św. Jakuba</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tabs>
          <w:tab w:val="clear" w:pos="708"/>
          <w:tab w:val="left" w:pos="426" w:leader="none"/>
        </w:tabs>
        <w:spacing w:lineRule="auto" w:line="360"/>
        <w:ind w:left="426" w:hanging="426"/>
        <w:jc w:val="both"/>
        <w:rPr>
          <w:rFonts w:ascii="Arial" w:hAnsi="Arial"/>
          <w:sz w:val="22"/>
          <w:szCs w:val="22"/>
          <w:u w:val="single"/>
          <w:lang w:val="pl-PL"/>
        </w:rPr>
      </w:pPr>
      <w:r>
        <w:rPr>
          <w:rFonts w:ascii="Arial" w:hAnsi="Arial"/>
          <w:sz w:val="22"/>
          <w:szCs w:val="22"/>
          <w:u w:val="single"/>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jc w:val="both"/>
        <w:rPr/>
      </w:pPr>
      <w:r>
        <w:rPr>
          <w:rFonts w:cs="Arial" w:ascii="Arial" w:hAnsi="Arial"/>
          <w:sz w:val="22"/>
          <w:szCs w:val="22"/>
          <w:lang w:val="pl-PL"/>
        </w:rPr>
        <w:t>6. Oświadczamy, że zapoznaliśmy się z warunkami programu</w:t>
      </w:r>
      <w:r>
        <w:rPr>
          <w:rFonts w:eastAsia="Times New Roman" w:cs="Arial" w:ascii="Arial" w:hAnsi="Arial"/>
          <w:b/>
          <w:color w:val="auto"/>
          <w:kern w:val="0"/>
          <w:sz w:val="30"/>
          <w:szCs w:val="30"/>
          <w:lang w:val="pl-PL" w:eastAsia="zh-CN" w:bidi="ar-SA"/>
        </w:rPr>
        <w:t xml:space="preserve"> </w:t>
      </w:r>
      <w:r>
        <w:rPr>
          <w:rFonts w:eastAsia="Times New Roman" w:cs="Arial" w:ascii="Arial" w:hAnsi="Arial"/>
          <w:b w:val="false"/>
          <w:bCs w:val="false"/>
          <w:color w:val="auto"/>
          <w:kern w:val="0"/>
          <w:sz w:val="22"/>
          <w:szCs w:val="22"/>
          <w:lang w:val="pl-PL" w:eastAsia="zh-CN" w:bidi="ar-SA"/>
        </w:rPr>
        <w:t>Rządowy Fundusz Rozwoju Dróg i zobowiązujemy się do ich przestrzegania.</w:t>
      </w:r>
    </w:p>
    <w:p>
      <w:pPr>
        <w:pStyle w:val="Standard"/>
        <w:tabs>
          <w:tab w:val="clear" w:pos="708"/>
          <w:tab w:val="left" w:pos="284" w:leader="none"/>
        </w:tabs>
        <w:spacing w:lineRule="auto" w:line="360"/>
        <w:rPr/>
      </w:pPr>
      <w:r>
        <w:rPr>
          <w:rFonts w:cs="Arial" w:ascii="Arial" w:hAnsi="Arial"/>
          <w:sz w:val="22"/>
          <w:szCs w:val="22"/>
          <w:lang w:val="pl-PL"/>
        </w:rPr>
        <w:t>7.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8.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zasoby/podywkonawcy*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w:t>
      </w:r>
      <w:r>
        <w:rPr>
          <w:rFonts w:eastAsia="Century Gothic" w:cs="Arial" w:ascii="Arial" w:hAnsi="Arial"/>
          <w:b/>
          <w:bCs/>
          <w:sz w:val="22"/>
          <w:szCs w:val="22"/>
          <w:lang w:val="pl-PL"/>
        </w:rPr>
        <w:t>B</w:t>
      </w:r>
      <w:r>
        <w:rPr>
          <w:rFonts w:eastAsia="Lucida Sans Unicode" w:cs="Arial" w:ascii="Arial" w:hAnsi="Arial"/>
          <w:b/>
          <w:bCs/>
          <w:color w:val="auto"/>
          <w:kern w:val="2"/>
          <w:sz w:val="22"/>
          <w:szCs w:val="22"/>
          <w:lang w:val="pl-PL" w:eastAsia="zh-CN" w:bidi="pl-PL"/>
        </w:rPr>
        <w:t>udowa przedłużenia ul. Piotra Wysockiego w Łebie na wschód od Alei Św. Jakuba</w:t>
      </w:r>
      <w:r>
        <w:rPr>
          <w:rFonts w:eastAsia="Century Gothic" w:ascii="Arial" w:hAnsi="Arial"/>
          <w:sz w:val="22"/>
          <w:szCs w:val="22"/>
          <w:lang w:val="pl-PL"/>
        </w:rPr>
        <w:t xml:space="preserve"> 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1"/>
          <w:footerReference w:type="default" r:id="rId12"/>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w:t>
      </w:r>
      <w:r>
        <w:rPr>
          <w:rFonts w:eastAsia="Century Gothic" w:cs="Arial" w:ascii="Arial" w:hAnsi="Arial"/>
          <w:b/>
          <w:bCs/>
          <w:sz w:val="22"/>
          <w:szCs w:val="22"/>
          <w:lang w:val="pl-PL"/>
        </w:rPr>
        <w:t>B</w:t>
      </w:r>
      <w:r>
        <w:rPr>
          <w:rFonts w:eastAsia="Lucida Sans Unicode" w:cs="Arial" w:ascii="Arial" w:hAnsi="Arial"/>
          <w:b/>
          <w:bCs/>
          <w:color w:val="auto"/>
          <w:kern w:val="2"/>
          <w:sz w:val="22"/>
          <w:szCs w:val="22"/>
          <w:lang w:val="pl-PL" w:eastAsia="zh-CN" w:bidi="pl-PL"/>
        </w:rPr>
        <w:t xml:space="preserve">udowa przedłużenia </w:t>
        <w:br/>
        <w:t>ul. Piotra Wysockiego w Łebie na wschód od Alei Św. Jakuba</w:t>
      </w:r>
      <w:r>
        <w:rPr>
          <w:rFonts w:eastAsia="Century Gothic" w:ascii="Arial" w:hAnsi="Arial"/>
          <w:b/>
          <w:sz w:val="22"/>
          <w:szCs w:val="22"/>
          <w:lang w:val="pl-PL"/>
        </w:rPr>
        <w:t xml:space="preserv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3"/>
          <w:headerReference w:type="first" r:id="rId14"/>
          <w:footerReference w:type="default" r:id="rId15"/>
          <w:footerReference w:type="first" r:id="rId16"/>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Century Gothic" w:cs="Arial" w:ascii="Arial" w:hAnsi="Arial"/>
          <w:b/>
          <w:bCs/>
          <w:sz w:val="22"/>
          <w:szCs w:val="22"/>
          <w:lang w:val="pl-PL"/>
        </w:rPr>
        <w:t>B</w:t>
      </w:r>
      <w:r>
        <w:rPr>
          <w:rFonts w:eastAsia="Lucida Sans Unicode" w:cs="Arial" w:ascii="Arial" w:hAnsi="Arial"/>
          <w:b/>
          <w:bCs/>
          <w:color w:val="auto"/>
          <w:kern w:val="2"/>
          <w:sz w:val="22"/>
          <w:szCs w:val="22"/>
          <w:lang w:val="pl-PL" w:eastAsia="zh-CN" w:bidi="pl-PL"/>
        </w:rPr>
        <w:t>udowa przedłużenia ul. Piotra Wysockiego w Łebie na wschód od Alei Św. Jakuba</w:t>
      </w:r>
      <w:r>
        <w:rPr>
          <w:rFonts w:eastAsia="Century Gothic" w:ascii="Arial" w:hAnsi="Arial"/>
          <w:b/>
          <w:bCs/>
          <w:sz w:val="22"/>
          <w:szCs w:val="22"/>
          <w:lang w:val="pl-PL"/>
        </w:rPr>
        <w:t xml:space="preserv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cs="Arial" w:ascii="Arial" w:hAnsi="Arial"/>
          <w:b/>
          <w:bCs/>
          <w:color w:val="auto"/>
          <w:kern w:val="0"/>
          <w:sz w:val="24"/>
          <w:szCs w:val="20"/>
          <w:lang w:val="pl-PL" w:eastAsia="pl-PL" w:bidi="ar-SA"/>
        </w:rPr>
        <w:t>Budowa przedłużenia ul. Piotra Wysockiego w Łebie na wschód od Alei Św. Jakuba</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rPr/>
      </w:pPr>
      <w:r>
        <w:rPr>
          <w:rFonts w:eastAsia="Times New Roman" w:ascii="Arial" w:hAnsi="Arial"/>
          <w:sz w:val="22"/>
          <w:szCs w:val="22"/>
          <w:lang w:val="pl-PL" w:eastAsia="zh-CN"/>
        </w:rPr>
        <w:t xml:space="preserve">Przystępując do udziału w postępowaniu o zamówienie publiczne pn.: </w:t>
      </w:r>
    </w:p>
    <w:p>
      <w:pPr>
        <w:pStyle w:val="Normal"/>
        <w:suppressAutoHyphens w:val="true"/>
        <w:spacing w:lineRule="auto" w:line="360"/>
        <w:rPr>
          <w:rFonts w:ascii="Arial" w:hAnsi="Arial" w:eastAsia="Times New Roman"/>
          <w:sz w:val="22"/>
          <w:szCs w:val="22"/>
          <w:highlight w:val="yellow"/>
          <w:lang w:val="pl-PL" w:eastAsia="zh-CN"/>
        </w:rPr>
      </w:pPr>
      <w:r>
        <w:rPr>
          <w:rFonts w:eastAsia="Times New Roman" w:ascii="Arial" w:hAnsi="Arial"/>
          <w:sz w:val="22"/>
          <w:szCs w:val="22"/>
          <w:highlight w:val="yellow"/>
          <w:lang w:val="pl-PL" w:eastAsia="zh-CN"/>
        </w:rPr>
      </w:r>
    </w:p>
    <w:p>
      <w:pPr>
        <w:pStyle w:val="Normal"/>
        <w:suppressAutoHyphens w:val="true"/>
        <w:spacing w:lineRule="auto" w:line="360"/>
        <w:jc w:val="both"/>
        <w:rPr/>
      </w:pPr>
      <w:r>
        <w:rPr>
          <w:rFonts w:eastAsia="Times New Roman" w:ascii="Arial" w:hAnsi="Arial"/>
          <w:b/>
          <w:sz w:val="22"/>
          <w:szCs w:val="22"/>
          <w:lang w:val="pl-PL" w:eastAsia="zh-CN"/>
        </w:rPr>
        <w:t>„</w:t>
      </w:r>
      <w:r>
        <w:rPr>
          <w:rFonts w:eastAsia="Century Gothic" w:cs="Arial" w:ascii="Arial" w:hAnsi="Arial"/>
          <w:b/>
          <w:bCs/>
          <w:i/>
          <w:sz w:val="22"/>
          <w:szCs w:val="22"/>
          <w:lang w:val="pl-PL" w:eastAsia="zh-CN" w:bidi="pl-PL"/>
        </w:rPr>
        <w:t>B</w:t>
      </w:r>
      <w:r>
        <w:rPr>
          <w:rFonts w:eastAsia="Lucida Sans Unicode" w:cs="Arial" w:ascii="Arial" w:hAnsi="Arial"/>
          <w:b/>
          <w:bCs/>
          <w:i/>
          <w:color w:val="auto"/>
          <w:kern w:val="2"/>
          <w:sz w:val="22"/>
          <w:szCs w:val="22"/>
          <w:lang w:val="pl-PL" w:eastAsia="zh-CN" w:bidi="pl-PL"/>
        </w:rPr>
        <w:t>udowa przedłużenia ul. Piotra Wysockiego w Łebie na wschód od Alei Św. Jakuba</w:t>
      </w:r>
      <w:r>
        <w:rPr>
          <w:rFonts w:eastAsia="Times New Roman" w:ascii="Arial" w:hAnsi="Arial"/>
          <w:b/>
          <w:bCs/>
          <w:sz w:val="22"/>
          <w:szCs w:val="22"/>
          <w:lang w:val="pl-PL" w:eastAsia="zh-CN"/>
        </w:rPr>
        <w:t>”</w:t>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przygotowawczymi, w tym rozbiórkowymi i odtworzeniowymi konstrukcji oraz nawierzchni,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robotami nawierzchniowymi związanymi z asfaltowaniem oraz układaniem nawierzchni betonowych i kamiennych,</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budową sieci i przyłączy kanalizacji deszczowej, elektrycznej, telekomunikacyjnej, wodociągowej i kanalizacji sanitarnej oraz usuwaniem kolizji na sieciach oraz pracami wykończeniowymi na sieciach i przyłączach oraz studniach,</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związanymi z ustawieniem oświetlenia oraz innymi pracami w zakresie elektryki,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 xml:space="preserve">pracami montażu obiektów małej architektury, znaków drogowych oraz pracami wykończeniowymi, </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 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17"/>
      <w:headerReference w:type="first" r:id="rId18"/>
      <w:footerReference w:type="default" r:id="rId19"/>
      <w:footerReference w:type="first" r:id="rId20"/>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ArialMT">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23</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25</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27</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29</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32</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3298</TotalTime>
  <Application>LibreOffice/7.5.0.3$Windows_X86_64 LibreOffice_project/c21113d003cd3efa8c53188764377a8272d9d6de</Application>
  <AppVersion>15.0000</AppVersion>
  <Pages>32</Pages>
  <Words>8522</Words>
  <Characters>57278</Characters>
  <CharactersWithSpaces>65826</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Iwona Mielewczyk</cp:lastModifiedBy>
  <dcterms:modified xsi:type="dcterms:W3CDTF">2023-04-24T14:09:35Z</dcterms:modified>
  <cp:revision>183</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