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579EB" w14:textId="77777777" w:rsidR="009634AB" w:rsidRPr="009634AB" w:rsidRDefault="009634AB" w:rsidP="009634AB">
      <w:pPr>
        <w:jc w:val="center"/>
        <w:rPr>
          <w:sz w:val="28"/>
        </w:rPr>
      </w:pPr>
      <w:r w:rsidRPr="009634AB">
        <w:rPr>
          <w:sz w:val="28"/>
        </w:rPr>
        <w:t>Opis przedmiotu zamówienia</w:t>
      </w:r>
    </w:p>
    <w:p w14:paraId="26A09407" w14:textId="70F145D3" w:rsidR="00A13513" w:rsidRPr="00CF74FD" w:rsidRDefault="00A13513" w:rsidP="00CF74FD">
      <w:pPr>
        <w:pStyle w:val="Akapitzlist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74FD">
        <w:rPr>
          <w:b/>
          <w:sz w:val="24"/>
          <w:szCs w:val="24"/>
        </w:rPr>
        <w:t>Przedmiot zamówienia</w:t>
      </w:r>
      <w:r w:rsidR="00795520" w:rsidRPr="00CF74FD">
        <w:rPr>
          <w:b/>
          <w:sz w:val="24"/>
          <w:szCs w:val="24"/>
        </w:rPr>
        <w:t>:</w:t>
      </w:r>
    </w:p>
    <w:p w14:paraId="4E076069" w14:textId="57D599C9" w:rsidR="00E36FFA" w:rsidRPr="009634AB" w:rsidRDefault="00A13513" w:rsidP="005E6643">
      <w:pPr>
        <w:pStyle w:val="Tekstpodstawowyzwciciem2"/>
        <w:rPr>
          <w:i/>
        </w:rPr>
      </w:pPr>
      <w:r w:rsidRPr="009634AB">
        <w:rPr>
          <w:i/>
        </w:rPr>
        <w:t xml:space="preserve">Przedmiotem zamówienia jest </w:t>
      </w:r>
      <w:r w:rsidR="00945486" w:rsidRPr="009634AB">
        <w:rPr>
          <w:i/>
        </w:rPr>
        <w:t>dostawa oraz montaż</w:t>
      </w:r>
      <w:r w:rsidR="00492664" w:rsidRPr="009634AB">
        <w:rPr>
          <w:i/>
        </w:rPr>
        <w:t xml:space="preserve"> </w:t>
      </w:r>
      <w:r w:rsidR="00E36FFA">
        <w:rPr>
          <w:i/>
        </w:rPr>
        <w:t>dmuchaw</w:t>
      </w:r>
      <w:r w:rsidR="00945486" w:rsidRPr="009634AB">
        <w:rPr>
          <w:i/>
        </w:rPr>
        <w:t xml:space="preserve"> biogazu </w:t>
      </w:r>
      <w:r w:rsidR="003D3964" w:rsidRPr="009634AB">
        <w:rPr>
          <w:i/>
        </w:rPr>
        <w:t>na</w:t>
      </w:r>
      <w:r w:rsidR="001E3B4F" w:rsidRPr="009634AB">
        <w:rPr>
          <w:i/>
        </w:rPr>
        <w:t xml:space="preserve"> </w:t>
      </w:r>
      <w:r w:rsidR="0002023D" w:rsidRPr="009634AB">
        <w:rPr>
          <w:i/>
        </w:rPr>
        <w:t xml:space="preserve">Oczyszczalni </w:t>
      </w:r>
      <w:r w:rsidR="00B81117" w:rsidRPr="009634AB">
        <w:rPr>
          <w:i/>
        </w:rPr>
        <w:t>Ś</w:t>
      </w:r>
      <w:r w:rsidR="0002023D" w:rsidRPr="009634AB">
        <w:rPr>
          <w:i/>
        </w:rPr>
        <w:t>cieków „Łyna” w</w:t>
      </w:r>
      <w:r w:rsidR="00945486" w:rsidRPr="009634AB">
        <w:rPr>
          <w:i/>
        </w:rPr>
        <w:t xml:space="preserve"> </w:t>
      </w:r>
      <w:r w:rsidR="0002023D" w:rsidRPr="009634AB">
        <w:rPr>
          <w:i/>
        </w:rPr>
        <w:t>Olsztynie</w:t>
      </w:r>
      <w:r w:rsidR="000D06F8" w:rsidRPr="009634AB">
        <w:rPr>
          <w:i/>
        </w:rPr>
        <w:t>.</w:t>
      </w:r>
    </w:p>
    <w:p w14:paraId="79E3AB36" w14:textId="5C965324" w:rsidR="00E36FFA" w:rsidRPr="00CF74FD" w:rsidRDefault="00E36FFA" w:rsidP="00CF74FD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rPr>
          <w:b/>
          <w:iCs/>
          <w:sz w:val="24"/>
          <w:szCs w:val="24"/>
        </w:rPr>
      </w:pPr>
      <w:r w:rsidRPr="00CF74FD">
        <w:rPr>
          <w:b/>
          <w:iCs/>
          <w:sz w:val="24"/>
          <w:szCs w:val="24"/>
        </w:rPr>
        <w:t xml:space="preserve">Opis przedmiotu zamówienia. </w:t>
      </w:r>
    </w:p>
    <w:p w14:paraId="616BC178" w14:textId="77777777" w:rsidR="00CF74FD" w:rsidRPr="00C40CE4" w:rsidRDefault="009E0F64" w:rsidP="00CF74FD">
      <w:pPr>
        <w:spacing w:before="240" w:after="0" w:line="276" w:lineRule="auto"/>
        <w:jc w:val="both"/>
        <w:rPr>
          <w:bCs/>
          <w:iCs/>
        </w:rPr>
      </w:pPr>
      <w:r w:rsidRPr="00C40CE4">
        <w:rPr>
          <w:iCs/>
        </w:rPr>
        <w:t>Realizacja zamówienia polega na dostawie i montażu dwóch dmuchaw biogazowych na sieci biogazowej.  Nowe dmuchawy mają zastąpić obecnie eksploatowane</w:t>
      </w:r>
      <w:r w:rsidR="00CF74FD" w:rsidRPr="00C40CE4">
        <w:rPr>
          <w:iCs/>
        </w:rPr>
        <w:t xml:space="preserve"> dmuchawy</w:t>
      </w:r>
      <w:r w:rsidRPr="00C40CE4">
        <w:rPr>
          <w:iCs/>
        </w:rPr>
        <w:t xml:space="preserve">, z których </w:t>
      </w:r>
      <w:r w:rsidRPr="00C40CE4">
        <w:rPr>
          <w:bCs/>
          <w:iCs/>
        </w:rPr>
        <w:t>jedna jest uszko</w:t>
      </w:r>
      <w:r w:rsidR="00D53AEA" w:rsidRPr="00C40CE4">
        <w:rPr>
          <w:bCs/>
          <w:iCs/>
        </w:rPr>
        <w:t>dzona, a druga ze względu</w:t>
      </w:r>
      <w:r w:rsidRPr="00C40CE4">
        <w:rPr>
          <w:bCs/>
          <w:iCs/>
        </w:rPr>
        <w:t xml:space="preserve"> na 16 lat ciągłej pracy jest mocno wyeksploatowana.</w:t>
      </w:r>
      <w:r w:rsidR="00372FAE" w:rsidRPr="00C40CE4">
        <w:rPr>
          <w:bCs/>
          <w:iCs/>
        </w:rPr>
        <w:t xml:space="preserve">  </w:t>
      </w:r>
      <w:r w:rsidR="00CF74FD" w:rsidRPr="00C40CE4">
        <w:rPr>
          <w:bCs/>
          <w:iCs/>
        </w:rPr>
        <w:tab/>
      </w:r>
    </w:p>
    <w:p w14:paraId="1284FDC9" w14:textId="3879A71C" w:rsidR="00E36FFA" w:rsidRPr="00C40CE4" w:rsidRDefault="00372FAE" w:rsidP="005E6643">
      <w:pPr>
        <w:spacing w:before="240" w:after="0" w:line="276" w:lineRule="auto"/>
        <w:jc w:val="both"/>
        <w:rPr>
          <w:bCs/>
          <w:iCs/>
        </w:rPr>
      </w:pPr>
      <w:r w:rsidRPr="00C40CE4">
        <w:rPr>
          <w:bCs/>
          <w:iCs/>
        </w:rPr>
        <w:t xml:space="preserve">Zakres robót obejmuje również demontaż istniejących dmuchaw. Podłączenie elektryczne nowych urządzeń wykonane będzie przez pracowników obsługi oczyszczalni ścieków “Łyna”. Uruchomienie urządzeń i sprawdzenie poprawności parametrów pracy odbędzie się w obecności przedstawicieli Wykonawcy. </w:t>
      </w:r>
    </w:p>
    <w:p w14:paraId="54F5E072" w14:textId="7C9196C7" w:rsidR="00BB3865" w:rsidRDefault="00D53AEA" w:rsidP="00CF74FD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rPr>
          <w:b/>
          <w:iCs/>
          <w:sz w:val="24"/>
          <w:szCs w:val="24"/>
        </w:rPr>
      </w:pPr>
      <w:r w:rsidRPr="00CF74FD">
        <w:rPr>
          <w:b/>
          <w:iCs/>
          <w:sz w:val="24"/>
          <w:szCs w:val="24"/>
        </w:rPr>
        <w:t>Wymagania Zamawiającego dotyczące przedmiotu Zamówienia</w:t>
      </w:r>
    </w:p>
    <w:p w14:paraId="78525789" w14:textId="77777777" w:rsidR="005E6643" w:rsidRPr="005E6643" w:rsidRDefault="005E6643" w:rsidP="005E6643">
      <w:pPr>
        <w:pStyle w:val="Akapitzlist"/>
        <w:spacing w:before="240" w:after="0" w:line="276" w:lineRule="auto"/>
        <w:ind w:left="284" w:firstLine="0"/>
        <w:rPr>
          <w:b/>
          <w:iCs/>
          <w:sz w:val="24"/>
          <w:szCs w:val="24"/>
        </w:rPr>
      </w:pPr>
    </w:p>
    <w:p w14:paraId="3D39AEBD" w14:textId="6F50B2D8" w:rsidR="00DB02E9" w:rsidRDefault="007C00DA" w:rsidP="00CF74FD">
      <w:pPr>
        <w:rPr>
          <w:rFonts w:ascii="Times New Roman" w:eastAsia="Times New Roman" w:hAnsi="Times New Roman" w:cs="Times New Roman"/>
          <w:lang w:eastAsia="pl-PL"/>
        </w:rPr>
      </w:pPr>
      <w:r>
        <w:rPr>
          <w:iCs/>
        </w:rPr>
        <w:t xml:space="preserve">3.1 </w:t>
      </w:r>
      <w:r w:rsidR="00D53AEA">
        <w:rPr>
          <w:iCs/>
        </w:rPr>
        <w:t>Specyfikacja dmuchaw biogazu</w:t>
      </w:r>
      <w:r w:rsidR="00D53AEA" w:rsidRPr="00D57B98">
        <w:rPr>
          <w:iCs/>
        </w:rPr>
        <w:t>:</w:t>
      </w:r>
      <w:r w:rsidR="00D53AEA" w:rsidRPr="00D53AE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D1D568" w14:textId="77777777" w:rsidR="00DB02E9" w:rsidRPr="00CF74FD" w:rsidRDefault="007C00DA" w:rsidP="00DB02E9">
      <w:pPr>
        <w:pStyle w:val="Akapitzlist"/>
        <w:spacing w:before="240" w:after="0" w:line="276" w:lineRule="auto"/>
        <w:ind w:left="142" w:firstLine="0"/>
        <w:jc w:val="left"/>
        <w:rPr>
          <w:iCs/>
        </w:rPr>
      </w:pPr>
      <w:r w:rsidRPr="00CF74FD">
        <w:rPr>
          <w:iCs/>
        </w:rPr>
        <w:t>Dmuchawa biogazowa</w:t>
      </w:r>
      <w:r w:rsidR="00BB3865" w:rsidRPr="00CF74FD">
        <w:rPr>
          <w:iCs/>
        </w:rPr>
        <w:t>- 2 szt.</w:t>
      </w:r>
      <w:r w:rsidR="00DB02E9" w:rsidRPr="00CF74FD">
        <w:rPr>
          <w:iCs/>
        </w:rPr>
        <w:t xml:space="preserve"> </w:t>
      </w:r>
    </w:p>
    <w:p w14:paraId="288088EB" w14:textId="7C5BD73F" w:rsidR="00DB02E9" w:rsidRPr="00CF74FD" w:rsidRDefault="00DB02E9" w:rsidP="00DB02E9">
      <w:pPr>
        <w:pStyle w:val="Akapitzlist"/>
        <w:spacing w:before="240" w:after="0" w:line="276" w:lineRule="auto"/>
        <w:ind w:left="142" w:firstLine="0"/>
        <w:jc w:val="left"/>
        <w:rPr>
          <w:iCs/>
        </w:rPr>
      </w:pPr>
      <w:r w:rsidRPr="00CF74FD">
        <w:rPr>
          <w:iCs/>
        </w:rPr>
        <w:t xml:space="preserve">Funkcja - </w:t>
      </w:r>
      <w:r w:rsidR="00CF74FD">
        <w:rPr>
          <w:iCs/>
        </w:rPr>
        <w:t>z</w:t>
      </w:r>
      <w:r w:rsidRPr="00CF74FD">
        <w:rPr>
          <w:iCs/>
        </w:rPr>
        <w:t xml:space="preserve">adaniem dmuchaw jest podniesienie ciśnienie biogazu podawanego ze zbiornika biogazu, który dalej zasila kotłownię technologiczną i dmuchawę II stopnia przed stacją agregatów. </w:t>
      </w:r>
    </w:p>
    <w:p w14:paraId="68F14FC4" w14:textId="6A5D9740" w:rsidR="00DB02E9" w:rsidRPr="00CF74FD" w:rsidRDefault="00DB02E9" w:rsidP="00DB02E9">
      <w:pPr>
        <w:pStyle w:val="Akapitzlist"/>
        <w:spacing w:before="240" w:after="0" w:line="276" w:lineRule="auto"/>
        <w:ind w:left="142" w:firstLine="0"/>
        <w:jc w:val="left"/>
        <w:rPr>
          <w:iCs/>
        </w:rPr>
      </w:pPr>
      <w:r w:rsidRPr="00CF74FD">
        <w:rPr>
          <w:iCs/>
        </w:rPr>
        <w:t>System pracy dmuchaw - naprzemien</w:t>
      </w:r>
      <w:r w:rsidR="00CF74FD">
        <w:rPr>
          <w:iCs/>
        </w:rPr>
        <w:t>n</w:t>
      </w:r>
      <w:r w:rsidRPr="00CF74FD">
        <w:rPr>
          <w:iCs/>
        </w:rPr>
        <w:t xml:space="preserve">y. </w:t>
      </w:r>
    </w:p>
    <w:p w14:paraId="1ADBD592" w14:textId="77777777" w:rsidR="00D53AEA" w:rsidRPr="00D53AEA" w:rsidRDefault="00D53AEA" w:rsidP="00CF74FD">
      <w:pPr>
        <w:spacing w:after="0" w:line="240" w:lineRule="auto"/>
        <w:ind w:firstLine="142"/>
        <w:rPr>
          <w:iCs/>
        </w:rPr>
      </w:pPr>
      <w:r w:rsidRPr="00D53AEA">
        <w:rPr>
          <w:iCs/>
        </w:rPr>
        <w:t xml:space="preserve">Obudowa dmuchawy i wirnik z aluminium - wersja gazoszczelna, </w:t>
      </w:r>
    </w:p>
    <w:p w14:paraId="673012DD" w14:textId="7D88E30C" w:rsidR="00D53AEA" w:rsidRPr="00D53AEA" w:rsidRDefault="00D53AEA" w:rsidP="00CF74FD">
      <w:pPr>
        <w:spacing w:after="0" w:line="240" w:lineRule="auto"/>
        <w:ind w:firstLine="142"/>
        <w:rPr>
          <w:iCs/>
        </w:rPr>
      </w:pPr>
      <w:r w:rsidRPr="00D53AEA">
        <w:rPr>
          <w:iCs/>
        </w:rPr>
        <w:t>Automatyczny system smarowania uszczelki wargowej z dozownikiem smaru, -PN16</w:t>
      </w:r>
      <w:r w:rsidR="00BB3865" w:rsidRPr="00CF74FD">
        <w:rPr>
          <w:iCs/>
        </w:rPr>
        <w:t>.</w:t>
      </w:r>
      <w:r w:rsidRPr="00D53AEA">
        <w:rPr>
          <w:iCs/>
        </w:rPr>
        <w:t xml:space="preserve"> </w:t>
      </w:r>
    </w:p>
    <w:p w14:paraId="44664484" w14:textId="204DE711" w:rsidR="00D53AEA" w:rsidRPr="00D53AEA" w:rsidRDefault="00D53AEA" w:rsidP="00D53A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5F6082" w14:textId="3D05BDC4" w:rsidR="00D53AEA" w:rsidRPr="00D53AEA" w:rsidRDefault="00D53AEA" w:rsidP="00D53A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A4CB7C" w14:textId="45A8D693" w:rsidR="00D53AEA" w:rsidRDefault="00D53AEA" w:rsidP="00CF74FD">
      <w:pPr>
        <w:pStyle w:val="Akapitzlist"/>
        <w:numPr>
          <w:ilvl w:val="2"/>
          <w:numId w:val="12"/>
        </w:numPr>
        <w:spacing w:line="276" w:lineRule="auto"/>
        <w:ind w:left="709" w:hanging="709"/>
        <w:rPr>
          <w:b/>
          <w:bCs/>
          <w:iCs/>
        </w:rPr>
      </w:pPr>
      <w:r>
        <w:rPr>
          <w:b/>
          <w:bCs/>
          <w:iCs/>
        </w:rPr>
        <w:t>Warunki pracy:</w:t>
      </w:r>
    </w:p>
    <w:p w14:paraId="431F53BA" w14:textId="77777777" w:rsidR="00D53AEA" w:rsidRPr="00945486" w:rsidRDefault="00D53AEA" w:rsidP="00CF74FD">
      <w:pPr>
        <w:pStyle w:val="Akapitzlist"/>
        <w:numPr>
          <w:ilvl w:val="3"/>
          <w:numId w:val="1"/>
        </w:numPr>
        <w:ind w:left="851" w:hanging="425"/>
        <w:rPr>
          <w:b/>
          <w:bCs/>
          <w:iCs/>
        </w:rPr>
      </w:pPr>
      <w:r w:rsidRPr="00945486">
        <w:rPr>
          <w:iCs/>
        </w:rPr>
        <w:t>Zasilanie: 400V/690, 50Hz, klasa izolacji F, wykonanie nie iskrzące CE EX II3G IIC T3 Gc – z PTC,</w:t>
      </w:r>
    </w:p>
    <w:p w14:paraId="23DBCDD4" w14:textId="10D927A5" w:rsidR="00D53AEA" w:rsidRPr="00945486" w:rsidRDefault="00D53AEA" w:rsidP="00CF74FD">
      <w:pPr>
        <w:pStyle w:val="Akapitzlist"/>
        <w:numPr>
          <w:ilvl w:val="3"/>
          <w:numId w:val="1"/>
        </w:numPr>
        <w:ind w:left="851" w:hanging="425"/>
        <w:rPr>
          <w:b/>
          <w:bCs/>
          <w:iCs/>
        </w:rPr>
      </w:pPr>
      <w:r w:rsidRPr="00945486">
        <w:rPr>
          <w:iCs/>
        </w:rPr>
        <w:t xml:space="preserve">Silnik: </w:t>
      </w:r>
      <w:r w:rsidR="00CF74FD">
        <w:rPr>
          <w:iCs/>
        </w:rPr>
        <w:tab/>
      </w:r>
      <w:r w:rsidR="00CF74FD">
        <w:rPr>
          <w:iCs/>
        </w:rPr>
        <w:tab/>
      </w:r>
      <w:r w:rsidR="00CF74FD">
        <w:rPr>
          <w:iCs/>
        </w:rPr>
        <w:tab/>
      </w:r>
      <w:r w:rsidR="00CF74FD">
        <w:rPr>
          <w:iCs/>
        </w:rPr>
        <w:tab/>
      </w:r>
      <w:r w:rsidRPr="00945486">
        <w:rPr>
          <w:iCs/>
        </w:rPr>
        <w:t>2,2 kW,</w:t>
      </w:r>
      <w:r>
        <w:rPr>
          <w:iCs/>
        </w:rPr>
        <w:t xml:space="preserve"> 2 biegunowy,</w:t>
      </w:r>
    </w:p>
    <w:p w14:paraId="42740DE4" w14:textId="77777777" w:rsidR="00D53AEA" w:rsidRPr="00495275" w:rsidRDefault="00D53AEA" w:rsidP="00CF74FD">
      <w:pPr>
        <w:pStyle w:val="Akapitzlist"/>
        <w:numPr>
          <w:ilvl w:val="3"/>
          <w:numId w:val="1"/>
        </w:numPr>
        <w:ind w:left="851" w:hanging="425"/>
        <w:rPr>
          <w:b/>
          <w:bCs/>
          <w:iCs/>
        </w:rPr>
      </w:pPr>
      <w:r>
        <w:rPr>
          <w:iCs/>
        </w:rPr>
        <w:t xml:space="preserve">Medium: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biogaz,</w:t>
      </w:r>
    </w:p>
    <w:p w14:paraId="7945AF6D" w14:textId="77777777" w:rsidR="00D53AEA" w:rsidRPr="00495275" w:rsidRDefault="00D53AEA" w:rsidP="00CF74FD">
      <w:pPr>
        <w:pStyle w:val="Akapitzlist"/>
        <w:numPr>
          <w:ilvl w:val="3"/>
          <w:numId w:val="1"/>
        </w:numPr>
        <w:spacing w:line="276" w:lineRule="auto"/>
        <w:ind w:left="851" w:hanging="425"/>
        <w:rPr>
          <w:b/>
          <w:bCs/>
          <w:iCs/>
        </w:rPr>
      </w:pPr>
      <w:r>
        <w:rPr>
          <w:iCs/>
        </w:rPr>
        <w:t>Ciśnienie dmuchawy:</w:t>
      </w:r>
    </w:p>
    <w:p w14:paraId="0167F35E" w14:textId="77777777" w:rsidR="00D53AEA" w:rsidRPr="00495275" w:rsidRDefault="00D53AEA" w:rsidP="00CF74FD">
      <w:pPr>
        <w:pStyle w:val="Akapitzlist"/>
        <w:numPr>
          <w:ilvl w:val="4"/>
          <w:numId w:val="1"/>
        </w:numPr>
        <w:spacing w:line="276" w:lineRule="auto"/>
        <w:ind w:left="851" w:hanging="425"/>
        <w:rPr>
          <w:b/>
          <w:bCs/>
          <w:iCs/>
        </w:rPr>
      </w:pPr>
      <w:r>
        <w:rPr>
          <w:iCs/>
        </w:rPr>
        <w:t xml:space="preserve"> Na wejściu: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1028</w:t>
      </w:r>
      <w:r>
        <w:rPr>
          <w:iCs/>
        </w:rPr>
        <w:tab/>
        <w:t>mbar abs,</w:t>
      </w:r>
    </w:p>
    <w:p w14:paraId="0BF01FEA" w14:textId="77777777" w:rsidR="00D53AEA" w:rsidRPr="00495275" w:rsidRDefault="00D53AEA" w:rsidP="00CF74FD">
      <w:pPr>
        <w:pStyle w:val="Akapitzlist"/>
        <w:numPr>
          <w:ilvl w:val="4"/>
          <w:numId w:val="1"/>
        </w:numPr>
        <w:spacing w:line="276" w:lineRule="auto"/>
        <w:ind w:left="851" w:hanging="425"/>
        <w:rPr>
          <w:b/>
          <w:bCs/>
          <w:iCs/>
        </w:rPr>
      </w:pPr>
      <w:r>
        <w:rPr>
          <w:iCs/>
        </w:rPr>
        <w:t>Na wyjściu: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1048</w:t>
      </w:r>
      <w:r>
        <w:rPr>
          <w:iCs/>
        </w:rPr>
        <w:tab/>
        <w:t>mbar abs,</w:t>
      </w:r>
    </w:p>
    <w:p w14:paraId="1605016B" w14:textId="77777777" w:rsidR="00D53AEA" w:rsidRPr="00495275" w:rsidRDefault="00D53AEA" w:rsidP="00CF74FD">
      <w:pPr>
        <w:pStyle w:val="Akapitzlist"/>
        <w:numPr>
          <w:ilvl w:val="3"/>
          <w:numId w:val="1"/>
        </w:numPr>
        <w:ind w:left="851" w:hanging="425"/>
        <w:rPr>
          <w:b/>
          <w:bCs/>
          <w:iCs/>
        </w:rPr>
      </w:pPr>
      <w:r>
        <w:rPr>
          <w:iCs/>
        </w:rPr>
        <w:t>Przepływ: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500</w:t>
      </w:r>
      <w:r>
        <w:rPr>
          <w:iCs/>
        </w:rPr>
        <w:tab/>
        <w:t>m</w:t>
      </w:r>
      <w:r>
        <w:rPr>
          <w:iCs/>
          <w:vertAlign w:val="superscript"/>
        </w:rPr>
        <w:t>3</w:t>
      </w:r>
      <w:r>
        <w:rPr>
          <w:iCs/>
        </w:rPr>
        <w:t>/h,</w:t>
      </w:r>
    </w:p>
    <w:p w14:paraId="591427B2" w14:textId="77777777" w:rsidR="00D53AEA" w:rsidRPr="007C00DA" w:rsidRDefault="00D53AEA" w:rsidP="00CF74FD">
      <w:pPr>
        <w:pStyle w:val="Akapitzlist"/>
        <w:numPr>
          <w:ilvl w:val="3"/>
          <w:numId w:val="1"/>
        </w:numPr>
        <w:spacing w:line="480" w:lineRule="auto"/>
        <w:ind w:left="851" w:hanging="425"/>
        <w:rPr>
          <w:b/>
          <w:bCs/>
          <w:iCs/>
        </w:rPr>
      </w:pPr>
      <w:r>
        <w:rPr>
          <w:iCs/>
        </w:rPr>
        <w:t>Zakres regulowania częstotliwości:</w:t>
      </w:r>
      <w:r>
        <w:rPr>
          <w:iCs/>
        </w:rPr>
        <w:tab/>
        <w:t xml:space="preserve">35-70 </w:t>
      </w:r>
      <w:r>
        <w:rPr>
          <w:iCs/>
        </w:rPr>
        <w:tab/>
        <w:t>Hz,</w:t>
      </w:r>
    </w:p>
    <w:p w14:paraId="7382CDF1" w14:textId="3AFE7B5C" w:rsidR="007C00DA" w:rsidRPr="00CF74FD" w:rsidRDefault="00CF74FD" w:rsidP="00CF74FD">
      <w:pPr>
        <w:pStyle w:val="Akapitzlist"/>
        <w:numPr>
          <w:ilvl w:val="3"/>
          <w:numId w:val="1"/>
        </w:numPr>
        <w:ind w:left="851" w:hanging="425"/>
        <w:rPr>
          <w:b/>
          <w:bCs/>
          <w:iCs/>
        </w:rPr>
      </w:pPr>
      <w:r>
        <w:rPr>
          <w:rFonts w:ascii="Arial" w:hAnsi="Arial" w:cs="Arial"/>
          <w:sz w:val="20"/>
          <w:szCs w:val="20"/>
        </w:rPr>
        <w:t>d</w:t>
      </w:r>
      <w:r w:rsidR="00011691">
        <w:rPr>
          <w:rFonts w:ascii="Arial" w:hAnsi="Arial" w:cs="Arial"/>
          <w:sz w:val="20"/>
          <w:szCs w:val="20"/>
        </w:rPr>
        <w:t>muchawy ustawione</w:t>
      </w:r>
      <w:r w:rsidR="00DB02E9">
        <w:rPr>
          <w:rFonts w:ascii="Arial" w:hAnsi="Arial" w:cs="Arial"/>
          <w:sz w:val="20"/>
          <w:szCs w:val="20"/>
        </w:rPr>
        <w:t xml:space="preserve"> na betonowym postumencie, </w:t>
      </w:r>
      <w:r w:rsidR="00BB3865">
        <w:rPr>
          <w:rFonts w:ascii="Arial" w:hAnsi="Arial" w:cs="Arial"/>
          <w:sz w:val="20"/>
          <w:szCs w:val="20"/>
        </w:rPr>
        <w:t>praca na otwartej przestrzeni w zmiennych warunkach atmosferycznych</w:t>
      </w:r>
    </w:p>
    <w:p w14:paraId="75D29E42" w14:textId="77777777" w:rsidR="00CF74FD" w:rsidRPr="00011691" w:rsidRDefault="00CF74FD" w:rsidP="00CF74FD">
      <w:pPr>
        <w:pStyle w:val="Akapitzlist"/>
        <w:ind w:left="851" w:firstLine="0"/>
        <w:rPr>
          <w:b/>
          <w:bCs/>
          <w:iCs/>
        </w:rPr>
      </w:pPr>
    </w:p>
    <w:p w14:paraId="4CDF6C20" w14:textId="38866343" w:rsidR="00011691" w:rsidRPr="00CF74FD" w:rsidRDefault="00CF74FD" w:rsidP="00CF74FD">
      <w:pPr>
        <w:pStyle w:val="Akapitzlist"/>
        <w:numPr>
          <w:ilvl w:val="3"/>
          <w:numId w:val="1"/>
        </w:numPr>
        <w:ind w:left="851" w:hanging="425"/>
        <w:rPr>
          <w:b/>
          <w:bCs/>
          <w:iCs/>
        </w:rPr>
      </w:pPr>
      <w:r>
        <w:rPr>
          <w:rFonts w:ascii="Arial" w:hAnsi="Arial" w:cs="Arial"/>
          <w:sz w:val="20"/>
          <w:szCs w:val="20"/>
        </w:rPr>
        <w:t>p</w:t>
      </w:r>
      <w:r w:rsidR="00011691">
        <w:rPr>
          <w:rFonts w:ascii="Arial" w:hAnsi="Arial" w:cs="Arial"/>
          <w:sz w:val="20"/>
          <w:szCs w:val="20"/>
        </w:rPr>
        <w:t>raca w wyznaczonej strefie zagrożenia wybuchem 2.</w:t>
      </w:r>
      <w:r>
        <w:rPr>
          <w:rFonts w:ascii="Arial" w:hAnsi="Arial" w:cs="Arial"/>
          <w:sz w:val="20"/>
          <w:szCs w:val="20"/>
        </w:rPr>
        <w:t xml:space="preserve">- </w:t>
      </w:r>
      <w:r w:rsidR="000116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011691">
        <w:rPr>
          <w:rFonts w:ascii="Arial" w:hAnsi="Arial" w:cs="Arial"/>
          <w:sz w:val="20"/>
          <w:szCs w:val="20"/>
        </w:rPr>
        <w:t>ubstancją niebezpieczną pod względem wybuchowym w analizowanej instalacji jest biogaz.</w:t>
      </w:r>
    </w:p>
    <w:p w14:paraId="4B89FFE5" w14:textId="77777777" w:rsidR="00CF74FD" w:rsidRPr="00CF74FD" w:rsidRDefault="00CF74FD" w:rsidP="00CF74FD">
      <w:pPr>
        <w:pStyle w:val="Akapitzlist"/>
        <w:rPr>
          <w:b/>
          <w:bCs/>
          <w:iCs/>
        </w:rPr>
      </w:pPr>
    </w:p>
    <w:p w14:paraId="169ACBD2" w14:textId="77777777" w:rsidR="00CF74FD" w:rsidRDefault="00CF74FD" w:rsidP="00CF74FD">
      <w:pPr>
        <w:pStyle w:val="Akapitzlist"/>
        <w:ind w:left="851" w:firstLine="0"/>
        <w:rPr>
          <w:b/>
          <w:bCs/>
          <w:iCs/>
        </w:rPr>
      </w:pPr>
    </w:p>
    <w:p w14:paraId="09F52BF8" w14:textId="77777777" w:rsidR="005E6643" w:rsidRPr="009634AB" w:rsidRDefault="005E6643" w:rsidP="00CF74FD">
      <w:pPr>
        <w:pStyle w:val="Akapitzlist"/>
        <w:ind w:left="851" w:firstLine="0"/>
        <w:rPr>
          <w:b/>
          <w:bCs/>
          <w:iCs/>
        </w:rPr>
      </w:pPr>
    </w:p>
    <w:p w14:paraId="7543B43C" w14:textId="77777777" w:rsidR="00D53AEA" w:rsidRDefault="00D53AEA" w:rsidP="00CF74FD">
      <w:pPr>
        <w:pStyle w:val="Akapitzlist"/>
        <w:numPr>
          <w:ilvl w:val="2"/>
          <w:numId w:val="1"/>
        </w:numPr>
        <w:spacing w:line="276" w:lineRule="auto"/>
        <w:ind w:left="709" w:hanging="709"/>
        <w:rPr>
          <w:b/>
          <w:bCs/>
          <w:iCs/>
        </w:rPr>
      </w:pPr>
      <w:r w:rsidRPr="009634AB">
        <w:rPr>
          <w:b/>
          <w:bCs/>
          <w:iCs/>
        </w:rPr>
        <w:lastRenderedPageBreak/>
        <w:t>Zastosowane dyrektywy:</w:t>
      </w:r>
    </w:p>
    <w:p w14:paraId="41665EDA" w14:textId="77777777" w:rsidR="00D53AEA" w:rsidRPr="009634AB" w:rsidRDefault="00D53AEA" w:rsidP="00CF74FD">
      <w:pPr>
        <w:pStyle w:val="Akapitzlist"/>
        <w:numPr>
          <w:ilvl w:val="3"/>
          <w:numId w:val="1"/>
        </w:numPr>
        <w:tabs>
          <w:tab w:val="left" w:pos="1843"/>
        </w:tabs>
        <w:ind w:left="993" w:hanging="567"/>
        <w:rPr>
          <w:b/>
          <w:bCs/>
          <w:iCs/>
        </w:rPr>
      </w:pPr>
      <w:r>
        <w:rPr>
          <w:iCs/>
        </w:rPr>
        <w:t>2006/42/EC Maszynowa,</w:t>
      </w:r>
    </w:p>
    <w:p w14:paraId="0F51B12F" w14:textId="77777777" w:rsidR="00D53AEA" w:rsidRPr="009634AB" w:rsidRDefault="00D53AEA" w:rsidP="00CF74FD">
      <w:pPr>
        <w:pStyle w:val="Akapitzlist"/>
        <w:numPr>
          <w:ilvl w:val="3"/>
          <w:numId w:val="1"/>
        </w:numPr>
        <w:tabs>
          <w:tab w:val="left" w:pos="1843"/>
        </w:tabs>
        <w:ind w:left="993" w:hanging="567"/>
        <w:rPr>
          <w:b/>
          <w:bCs/>
          <w:iCs/>
        </w:rPr>
      </w:pPr>
      <w:r>
        <w:rPr>
          <w:iCs/>
        </w:rPr>
        <w:t>2014/35/EU Niskonapięciowa,</w:t>
      </w:r>
    </w:p>
    <w:p w14:paraId="4C06FF56" w14:textId="77777777" w:rsidR="00D53AEA" w:rsidRPr="009634AB" w:rsidRDefault="00D53AEA" w:rsidP="00CF74FD">
      <w:pPr>
        <w:pStyle w:val="Akapitzlist"/>
        <w:numPr>
          <w:ilvl w:val="3"/>
          <w:numId w:val="1"/>
        </w:numPr>
        <w:tabs>
          <w:tab w:val="left" w:pos="1843"/>
        </w:tabs>
        <w:ind w:left="993" w:hanging="567"/>
        <w:rPr>
          <w:b/>
          <w:bCs/>
          <w:iCs/>
        </w:rPr>
      </w:pPr>
      <w:r>
        <w:rPr>
          <w:iCs/>
        </w:rPr>
        <w:t>2014/30/EU Kompatybilności elektromagnetycznej,</w:t>
      </w:r>
    </w:p>
    <w:p w14:paraId="437E66FA" w14:textId="77777777" w:rsidR="00D53AEA" w:rsidRPr="00945486" w:rsidRDefault="00D53AEA" w:rsidP="00CF74FD">
      <w:pPr>
        <w:pStyle w:val="Akapitzlist"/>
        <w:numPr>
          <w:ilvl w:val="3"/>
          <w:numId w:val="1"/>
        </w:numPr>
        <w:tabs>
          <w:tab w:val="left" w:pos="1843"/>
        </w:tabs>
        <w:ind w:left="993" w:hanging="567"/>
        <w:rPr>
          <w:b/>
          <w:bCs/>
          <w:iCs/>
        </w:rPr>
      </w:pPr>
      <w:r>
        <w:rPr>
          <w:iCs/>
        </w:rPr>
        <w:t xml:space="preserve">2014/34/EU </w:t>
      </w:r>
      <w:r w:rsidRPr="009634AB">
        <w:rPr>
          <w:iCs/>
        </w:rPr>
        <w:t>Atex CE Ex II3G Exh IIB T3 Gc</w:t>
      </w:r>
    </w:p>
    <w:p w14:paraId="6011EA91" w14:textId="77777777" w:rsidR="00D53AEA" w:rsidRPr="00E70FD8" w:rsidRDefault="00D53AEA" w:rsidP="00CF74FD">
      <w:pPr>
        <w:tabs>
          <w:tab w:val="left" w:pos="1843"/>
        </w:tabs>
        <w:spacing w:before="240" w:after="0" w:line="276" w:lineRule="auto"/>
        <w:ind w:left="993" w:hanging="567"/>
        <w:rPr>
          <w:iCs/>
          <w:sz w:val="8"/>
          <w:szCs w:val="28"/>
        </w:rPr>
      </w:pPr>
    </w:p>
    <w:p w14:paraId="2F229502" w14:textId="57B9E0F1" w:rsidR="00DB02E9" w:rsidRPr="00CF74FD" w:rsidRDefault="00011691" w:rsidP="00CF74FD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rPr>
          <w:b/>
          <w:iCs/>
          <w:sz w:val="24"/>
          <w:szCs w:val="24"/>
        </w:rPr>
      </w:pPr>
      <w:r w:rsidRPr="00CF74FD">
        <w:rPr>
          <w:b/>
          <w:iCs/>
          <w:sz w:val="24"/>
          <w:szCs w:val="24"/>
        </w:rPr>
        <w:t>Warunki bezpieczeństwa</w:t>
      </w:r>
      <w:r w:rsidR="00CF74FD">
        <w:rPr>
          <w:b/>
          <w:iCs/>
          <w:sz w:val="24"/>
          <w:szCs w:val="24"/>
        </w:rPr>
        <w:t>.</w:t>
      </w:r>
    </w:p>
    <w:p w14:paraId="12E9EE93" w14:textId="77777777" w:rsidR="00DB02E9" w:rsidRPr="00CF74FD" w:rsidRDefault="00DB02E9" w:rsidP="00CF74FD">
      <w:pPr>
        <w:pStyle w:val="Akapitzlist"/>
        <w:spacing w:before="240" w:after="0" w:line="276" w:lineRule="auto"/>
        <w:ind w:left="284" w:firstLine="0"/>
        <w:rPr>
          <w:b/>
          <w:iCs/>
          <w:sz w:val="24"/>
          <w:szCs w:val="24"/>
        </w:rPr>
      </w:pPr>
    </w:p>
    <w:p w14:paraId="576BEC39" w14:textId="1EF0CF83" w:rsidR="00011691" w:rsidRPr="00CF74FD" w:rsidRDefault="00372FAE" w:rsidP="00A46AFD">
      <w:pPr>
        <w:autoSpaceDE w:val="0"/>
        <w:autoSpaceDN w:val="0"/>
        <w:adjustRightInd w:val="0"/>
        <w:spacing w:after="0"/>
        <w:rPr>
          <w:iCs/>
        </w:rPr>
      </w:pPr>
      <w:r w:rsidRPr="00CF74FD">
        <w:rPr>
          <w:iCs/>
        </w:rPr>
        <w:t>Prace na  instalacjach</w:t>
      </w:r>
      <w:r w:rsidR="00011691" w:rsidRPr="00CF74FD">
        <w:rPr>
          <w:iCs/>
        </w:rPr>
        <w:t xml:space="preserve"> gazów palnych na czynnym obiekcie </w:t>
      </w:r>
      <w:r w:rsidR="0037132F" w:rsidRPr="00CF74FD">
        <w:rPr>
          <w:iCs/>
        </w:rPr>
        <w:t xml:space="preserve">w strefie zagrożenia wybuchem 2. </w:t>
      </w:r>
    </w:p>
    <w:p w14:paraId="2F3054D1" w14:textId="4426C8C4" w:rsidR="00011691" w:rsidRPr="00CF74FD" w:rsidRDefault="00A46AFD" w:rsidP="00011691">
      <w:pPr>
        <w:autoSpaceDE w:val="0"/>
        <w:autoSpaceDN w:val="0"/>
        <w:adjustRightInd w:val="0"/>
        <w:spacing w:after="0" w:line="240" w:lineRule="auto"/>
        <w:rPr>
          <w:iCs/>
        </w:rPr>
      </w:pPr>
      <w:r w:rsidRPr="00CF74FD">
        <w:rPr>
          <w:iCs/>
        </w:rPr>
        <w:t>W</w:t>
      </w:r>
      <w:r w:rsidR="00011691" w:rsidRPr="00CF74FD">
        <w:rPr>
          <w:iCs/>
        </w:rPr>
        <w:t>ykonawstwo instalacji opisywanych i ich rozruch należą</w:t>
      </w:r>
      <w:r w:rsidR="00DB02E9" w:rsidRPr="00CF74FD">
        <w:rPr>
          <w:iCs/>
        </w:rPr>
        <w:t xml:space="preserve"> do robót gazoniebezpiecznych</w:t>
      </w:r>
      <w:r w:rsidRPr="00CF74FD">
        <w:rPr>
          <w:iCs/>
        </w:rPr>
        <w:t xml:space="preserve">. </w:t>
      </w:r>
    </w:p>
    <w:p w14:paraId="5766331D" w14:textId="10F767CD" w:rsidR="0037132F" w:rsidRPr="00CF74FD" w:rsidRDefault="0037132F" w:rsidP="00CF74FD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rPr>
          <w:b/>
          <w:iCs/>
          <w:sz w:val="24"/>
          <w:szCs w:val="24"/>
        </w:rPr>
      </w:pPr>
      <w:r w:rsidRPr="00CF74FD">
        <w:rPr>
          <w:b/>
          <w:iCs/>
          <w:sz w:val="24"/>
          <w:szCs w:val="24"/>
        </w:rPr>
        <w:t>Warunki udziału w postępowaniu</w:t>
      </w:r>
      <w:r w:rsidR="00CF74FD">
        <w:rPr>
          <w:b/>
          <w:iCs/>
          <w:sz w:val="24"/>
          <w:szCs w:val="24"/>
        </w:rPr>
        <w:t>.</w:t>
      </w:r>
      <w:r w:rsidRPr="00CF74FD">
        <w:rPr>
          <w:b/>
          <w:iCs/>
          <w:sz w:val="24"/>
          <w:szCs w:val="24"/>
        </w:rPr>
        <w:t xml:space="preserve"> </w:t>
      </w:r>
    </w:p>
    <w:p w14:paraId="06C3D09B" w14:textId="77777777" w:rsidR="0037132F" w:rsidRPr="0037132F" w:rsidRDefault="0037132F" w:rsidP="0037132F">
      <w:pPr>
        <w:tabs>
          <w:tab w:val="left" w:pos="1080"/>
        </w:tabs>
        <w:spacing w:after="0" w:line="276" w:lineRule="auto"/>
        <w:ind w:left="1080" w:hanging="1080"/>
        <w:rPr>
          <w:rFonts w:ascii="Arial" w:eastAsia="Times New Roman" w:hAnsi="Arial" w:cs="Arial"/>
          <w:sz w:val="10"/>
          <w:szCs w:val="20"/>
          <w:lang w:eastAsia="pl-PL"/>
        </w:rPr>
      </w:pPr>
    </w:p>
    <w:p w14:paraId="21268175" w14:textId="77777777" w:rsidR="0037132F" w:rsidRPr="0037132F" w:rsidRDefault="0037132F" w:rsidP="00CF74FD">
      <w:pPr>
        <w:autoSpaceDE w:val="0"/>
        <w:autoSpaceDN w:val="0"/>
        <w:adjustRightInd w:val="0"/>
        <w:spacing w:after="0"/>
        <w:rPr>
          <w:iCs/>
        </w:rPr>
      </w:pPr>
      <w:r w:rsidRPr="0037132F">
        <w:rPr>
          <w:iCs/>
        </w:rPr>
        <w:t>O udzielenie zamówienia ubiegać się mogą Wykonawcy, którzy spełniają warunki :</w:t>
      </w:r>
    </w:p>
    <w:p w14:paraId="116DAC9D" w14:textId="1A8D8CC1" w:rsidR="00A46AFD" w:rsidRPr="008A3353" w:rsidRDefault="0037132F" w:rsidP="00CF74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iCs/>
        </w:rPr>
      </w:pPr>
      <w:r w:rsidRPr="008A3353">
        <w:rPr>
          <w:iCs/>
        </w:rPr>
        <w:t>posiadają uprawnienia niezbędne do wykonania określonych w przedmiocie zamówienia prac i czynności</w:t>
      </w:r>
      <w:r w:rsidR="005E6643" w:rsidRPr="008A3353">
        <w:rPr>
          <w:iCs/>
        </w:rPr>
        <w:t>;</w:t>
      </w:r>
    </w:p>
    <w:p w14:paraId="5133D7F6" w14:textId="53E598D7" w:rsidR="0037132F" w:rsidRPr="00156817" w:rsidRDefault="0037132F" w:rsidP="00CF74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iCs/>
        </w:rPr>
      </w:pPr>
      <w:r w:rsidRPr="008A3353">
        <w:rPr>
          <w:iCs/>
        </w:rPr>
        <w:t>posiadają niezbędną wiedzę i doświadczenie w zakresie określonych w przedmio</w:t>
      </w:r>
      <w:r w:rsidR="005E6643" w:rsidRPr="008A3353">
        <w:rPr>
          <w:iCs/>
        </w:rPr>
        <w:t xml:space="preserve">cie zamówienia </w:t>
      </w:r>
      <w:r w:rsidR="005E6643" w:rsidRPr="00156817">
        <w:rPr>
          <w:iCs/>
        </w:rPr>
        <w:t>prac i czynności;</w:t>
      </w:r>
    </w:p>
    <w:p w14:paraId="48791276" w14:textId="77777777" w:rsidR="0037132F" w:rsidRPr="00156817" w:rsidRDefault="0037132F" w:rsidP="00CF74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iCs/>
        </w:rPr>
      </w:pPr>
      <w:r w:rsidRPr="00156817">
        <w:rPr>
          <w:iCs/>
        </w:rPr>
        <w:t xml:space="preserve">dysponują odpowiednim potencjałem technicznym oraz osobami zdolnymi do wykonania zamówienia; </w:t>
      </w:r>
    </w:p>
    <w:p w14:paraId="16463481" w14:textId="6D41ECAD" w:rsidR="00A46AFD" w:rsidRPr="00156817" w:rsidRDefault="00CF74FD" w:rsidP="00CF74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iCs/>
        </w:rPr>
      </w:pPr>
      <w:r w:rsidRPr="00156817">
        <w:rPr>
          <w:iCs/>
        </w:rPr>
        <w:t>o</w:t>
      </w:r>
      <w:r w:rsidR="00A46AFD" w:rsidRPr="00156817">
        <w:rPr>
          <w:iCs/>
        </w:rPr>
        <w:t xml:space="preserve">ferent przystępujący do przetargu powinien przedstawić referencje na wykonanie w sposób należyty i prawidłowo w okresie ostatnich 2 lat przed upływem terminu składania ofert, a jeżeli okres prowadzenia działalności jest krótszy - w tym okresie, co najmniej dwóch zamówień na dostawę i montaż urządzeń </w:t>
      </w:r>
      <w:r w:rsidR="00156817" w:rsidRPr="00156817">
        <w:rPr>
          <w:iCs/>
        </w:rPr>
        <w:t>na sieci gazowej</w:t>
      </w:r>
      <w:r w:rsidR="00A46AFD" w:rsidRPr="00156817">
        <w:rPr>
          <w:iCs/>
        </w:rPr>
        <w:t xml:space="preserve"> o min. wartości 50 000 zł każda</w:t>
      </w:r>
      <w:r w:rsidR="005E6643" w:rsidRPr="00156817">
        <w:rPr>
          <w:iCs/>
        </w:rPr>
        <w:t>;</w:t>
      </w:r>
    </w:p>
    <w:p w14:paraId="1E58F2EF" w14:textId="66975CF2" w:rsidR="00A46AFD" w:rsidRPr="00CF74FD" w:rsidRDefault="00CF74FD" w:rsidP="00CF74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iCs/>
        </w:rPr>
      </w:pPr>
      <w:r w:rsidRPr="00CF74FD">
        <w:rPr>
          <w:iCs/>
        </w:rPr>
        <w:t>p</w:t>
      </w:r>
      <w:r w:rsidR="00A46AFD" w:rsidRPr="00CF74FD">
        <w:rPr>
          <w:iCs/>
        </w:rPr>
        <w:t>rzed przystąpieniem do składania ofert oferent może przeprowadzić wizję lokalną na terenie oczyszczalni ścieków. Z wizji lokalnej sporządzony będzie protokół potwierdzający zapoznanie się oferentów z rzeczywisty</w:t>
      </w:r>
      <w:r w:rsidR="005E6643">
        <w:rPr>
          <w:iCs/>
        </w:rPr>
        <w:t>mi uwarunkowaniami na obiektach;</w:t>
      </w:r>
    </w:p>
    <w:p w14:paraId="556C8BE5" w14:textId="0E54A30A" w:rsidR="00A46AFD" w:rsidRDefault="00CF74FD" w:rsidP="00CF74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iCs/>
        </w:rPr>
      </w:pPr>
      <w:r w:rsidRPr="00CF74FD">
        <w:rPr>
          <w:iCs/>
        </w:rPr>
        <w:t>w</w:t>
      </w:r>
      <w:r w:rsidR="00A46AFD" w:rsidRPr="00CF74FD">
        <w:rPr>
          <w:iCs/>
        </w:rPr>
        <w:t xml:space="preserve"> ramach dostawy urządzeń wymagane jest zapewnienie szkolenia dla obsługi obiektu z</w:t>
      </w:r>
      <w:r w:rsidR="00156817">
        <w:rPr>
          <w:iCs/>
        </w:rPr>
        <w:t> </w:t>
      </w:r>
      <w:r w:rsidR="00A46AFD" w:rsidRPr="00CF74FD">
        <w:rPr>
          <w:iCs/>
        </w:rPr>
        <w:t xml:space="preserve">zakresu eksploatacji, obsługi, parametryzacji urządzeń bezpośrednio przez autoryzowany serwis producenta w Polsce. </w:t>
      </w:r>
    </w:p>
    <w:p w14:paraId="3F9D506F" w14:textId="77777777" w:rsidR="00CF74FD" w:rsidRPr="00CF74FD" w:rsidRDefault="00CF74FD" w:rsidP="00CF74FD">
      <w:pPr>
        <w:pStyle w:val="Akapitzlist"/>
        <w:autoSpaceDE w:val="0"/>
        <w:autoSpaceDN w:val="0"/>
        <w:adjustRightInd w:val="0"/>
        <w:spacing w:after="0"/>
        <w:ind w:firstLine="0"/>
        <w:rPr>
          <w:iCs/>
        </w:rPr>
      </w:pPr>
    </w:p>
    <w:p w14:paraId="43D81DFF" w14:textId="6FF88917" w:rsidR="00A46AFD" w:rsidRPr="00CF74FD" w:rsidRDefault="00A46AFD" w:rsidP="00CF74FD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rPr>
          <w:b/>
          <w:iCs/>
          <w:sz w:val="24"/>
          <w:szCs w:val="24"/>
        </w:rPr>
      </w:pPr>
      <w:r w:rsidRPr="00CF74FD">
        <w:rPr>
          <w:b/>
          <w:iCs/>
          <w:sz w:val="24"/>
          <w:szCs w:val="24"/>
        </w:rPr>
        <w:t>Termin wykonania zamówienia</w:t>
      </w:r>
    </w:p>
    <w:p w14:paraId="1632375E" w14:textId="0ECD7770" w:rsidR="00A46AFD" w:rsidRPr="00CF74FD" w:rsidRDefault="00A46AFD" w:rsidP="00CF74FD">
      <w:pPr>
        <w:autoSpaceDE w:val="0"/>
        <w:autoSpaceDN w:val="0"/>
        <w:adjustRightInd w:val="0"/>
        <w:spacing w:after="0"/>
        <w:rPr>
          <w:iCs/>
        </w:rPr>
      </w:pPr>
      <w:r w:rsidRPr="00156817">
        <w:rPr>
          <w:iCs/>
        </w:rPr>
        <w:t>Wymagany termin wykonania zamówienia:</w:t>
      </w:r>
      <w:r w:rsidR="00156817" w:rsidRPr="00156817">
        <w:rPr>
          <w:iCs/>
        </w:rPr>
        <w:t xml:space="preserve"> </w:t>
      </w:r>
      <w:r w:rsidR="008233F3">
        <w:rPr>
          <w:iCs/>
        </w:rPr>
        <w:t>do trzech miesięcy od dnia podpisania umowy.</w:t>
      </w:r>
      <w:bookmarkStart w:id="0" w:name="_GoBack"/>
      <w:bookmarkEnd w:id="0"/>
    </w:p>
    <w:p w14:paraId="3783B025" w14:textId="77777777" w:rsidR="00A46AFD" w:rsidRPr="00CF74FD" w:rsidRDefault="00A46AFD" w:rsidP="00CF74FD">
      <w:pPr>
        <w:autoSpaceDE w:val="0"/>
        <w:autoSpaceDN w:val="0"/>
        <w:adjustRightInd w:val="0"/>
        <w:spacing w:after="0"/>
        <w:rPr>
          <w:iCs/>
        </w:rPr>
      </w:pPr>
    </w:p>
    <w:p w14:paraId="358ED281" w14:textId="4B30E415" w:rsidR="0037132F" w:rsidRPr="00CF74FD" w:rsidRDefault="0037132F" w:rsidP="00CF74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iCs/>
        </w:rPr>
      </w:pPr>
      <w:r w:rsidRPr="00CF74FD">
        <w:rPr>
          <w:b/>
          <w:iCs/>
        </w:rPr>
        <w:t>Kryteria wyboru oferenta:</w:t>
      </w:r>
    </w:p>
    <w:p w14:paraId="68AAFB98" w14:textId="77777777" w:rsidR="00CF74FD" w:rsidRDefault="00CF74FD" w:rsidP="00CF74FD">
      <w:pPr>
        <w:autoSpaceDE w:val="0"/>
        <w:autoSpaceDN w:val="0"/>
        <w:adjustRightInd w:val="0"/>
        <w:spacing w:after="0"/>
        <w:rPr>
          <w:iCs/>
        </w:rPr>
      </w:pPr>
    </w:p>
    <w:p w14:paraId="7EBBD8F4" w14:textId="0282D216" w:rsidR="009634AB" w:rsidRPr="009634AB" w:rsidRDefault="0037132F" w:rsidP="00CF74FD">
      <w:pPr>
        <w:autoSpaceDE w:val="0"/>
        <w:autoSpaceDN w:val="0"/>
        <w:adjustRightInd w:val="0"/>
        <w:spacing w:after="0"/>
        <w:rPr>
          <w:iCs/>
        </w:rPr>
      </w:pPr>
      <w:r w:rsidRPr="0037132F">
        <w:rPr>
          <w:iCs/>
        </w:rPr>
        <w:t>Cena – waga 100 %</w:t>
      </w:r>
    </w:p>
    <w:sectPr w:rsidR="009634AB" w:rsidRPr="0096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362"/>
    <w:multiLevelType w:val="multilevel"/>
    <w:tmpl w:val="952EA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>
    <w:nsid w:val="05AD5BF3"/>
    <w:multiLevelType w:val="hybridMultilevel"/>
    <w:tmpl w:val="A72A8D5E"/>
    <w:lvl w:ilvl="0" w:tplc="9D4A8DB6">
      <w:start w:val="1"/>
      <w:numFmt w:val="decimal"/>
      <w:lvlText w:val="%1)"/>
      <w:lvlJc w:val="left"/>
      <w:pPr>
        <w:tabs>
          <w:tab w:val="num" w:pos="577"/>
        </w:tabs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>
    <w:nsid w:val="0E6A3694"/>
    <w:multiLevelType w:val="hybridMultilevel"/>
    <w:tmpl w:val="046AA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12EF7"/>
    <w:multiLevelType w:val="hybridMultilevel"/>
    <w:tmpl w:val="23DA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8406A"/>
    <w:multiLevelType w:val="hybridMultilevel"/>
    <w:tmpl w:val="FFDA10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4CFC"/>
    <w:multiLevelType w:val="hybridMultilevel"/>
    <w:tmpl w:val="3224E7B6"/>
    <w:lvl w:ilvl="0" w:tplc="ED9E57C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E481B1D"/>
    <w:multiLevelType w:val="hybridMultilevel"/>
    <w:tmpl w:val="CC9E7E0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6EE4BC1"/>
    <w:multiLevelType w:val="hybridMultilevel"/>
    <w:tmpl w:val="CF881C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ABD7FCA"/>
    <w:multiLevelType w:val="hybridMultilevel"/>
    <w:tmpl w:val="431031F0"/>
    <w:lvl w:ilvl="0" w:tplc="92820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9507B"/>
    <w:multiLevelType w:val="hybridMultilevel"/>
    <w:tmpl w:val="74346C78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85622A8"/>
    <w:multiLevelType w:val="multilevel"/>
    <w:tmpl w:val="9C947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FF3B6E"/>
    <w:multiLevelType w:val="hybridMultilevel"/>
    <w:tmpl w:val="ADBE08BC"/>
    <w:lvl w:ilvl="0" w:tplc="DEAACC60">
      <w:start w:val="1"/>
      <w:numFmt w:val="decimal"/>
      <w:lvlText w:val="%1."/>
      <w:lvlJc w:val="left"/>
      <w:pPr>
        <w:ind w:left="189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374734F"/>
    <w:multiLevelType w:val="hybridMultilevel"/>
    <w:tmpl w:val="FB00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3E71"/>
    <w:multiLevelType w:val="hybridMultilevel"/>
    <w:tmpl w:val="9E442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B23DE"/>
    <w:multiLevelType w:val="multilevel"/>
    <w:tmpl w:val="504837F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89"/>
    <w:rsid w:val="00011691"/>
    <w:rsid w:val="0002023D"/>
    <w:rsid w:val="00026833"/>
    <w:rsid w:val="00050179"/>
    <w:rsid w:val="000C542D"/>
    <w:rsid w:val="000D06F8"/>
    <w:rsid w:val="000F5F91"/>
    <w:rsid w:val="00156817"/>
    <w:rsid w:val="001638E7"/>
    <w:rsid w:val="001866E1"/>
    <w:rsid w:val="001E3B4F"/>
    <w:rsid w:val="00200B82"/>
    <w:rsid w:val="002239F1"/>
    <w:rsid w:val="00227074"/>
    <w:rsid w:val="0037132F"/>
    <w:rsid w:val="00372FAE"/>
    <w:rsid w:val="003A7EDB"/>
    <w:rsid w:val="003D3964"/>
    <w:rsid w:val="00463563"/>
    <w:rsid w:val="00492664"/>
    <w:rsid w:val="00495275"/>
    <w:rsid w:val="004B2415"/>
    <w:rsid w:val="004E43A4"/>
    <w:rsid w:val="00510443"/>
    <w:rsid w:val="00565421"/>
    <w:rsid w:val="00587BFC"/>
    <w:rsid w:val="005E6643"/>
    <w:rsid w:val="00726067"/>
    <w:rsid w:val="00732D4B"/>
    <w:rsid w:val="00754726"/>
    <w:rsid w:val="007777E3"/>
    <w:rsid w:val="00795520"/>
    <w:rsid w:val="007A2564"/>
    <w:rsid w:val="007C00DA"/>
    <w:rsid w:val="007C139B"/>
    <w:rsid w:val="00806605"/>
    <w:rsid w:val="008233F3"/>
    <w:rsid w:val="00847750"/>
    <w:rsid w:val="00870094"/>
    <w:rsid w:val="008A3353"/>
    <w:rsid w:val="0091141D"/>
    <w:rsid w:val="00945486"/>
    <w:rsid w:val="00946789"/>
    <w:rsid w:val="009634AB"/>
    <w:rsid w:val="009E0F64"/>
    <w:rsid w:val="009F5096"/>
    <w:rsid w:val="00A13513"/>
    <w:rsid w:val="00A46AFD"/>
    <w:rsid w:val="00A501AC"/>
    <w:rsid w:val="00AE5BB2"/>
    <w:rsid w:val="00AF3BC6"/>
    <w:rsid w:val="00B81117"/>
    <w:rsid w:val="00BA7F4F"/>
    <w:rsid w:val="00BB3865"/>
    <w:rsid w:val="00C40CE4"/>
    <w:rsid w:val="00C636D1"/>
    <w:rsid w:val="00CF74FD"/>
    <w:rsid w:val="00D53AEA"/>
    <w:rsid w:val="00D55D91"/>
    <w:rsid w:val="00D57B98"/>
    <w:rsid w:val="00D642E9"/>
    <w:rsid w:val="00DB02E9"/>
    <w:rsid w:val="00DE273D"/>
    <w:rsid w:val="00E22F0B"/>
    <w:rsid w:val="00E30FEA"/>
    <w:rsid w:val="00E36FFA"/>
    <w:rsid w:val="00E44269"/>
    <w:rsid w:val="00E70FD8"/>
    <w:rsid w:val="00EA0DE4"/>
    <w:rsid w:val="00EC631C"/>
    <w:rsid w:val="00F320D9"/>
    <w:rsid w:val="00F3707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B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3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13"/>
    <w:pPr>
      <w:spacing w:after="200" w:line="240" w:lineRule="auto"/>
      <w:ind w:left="720" w:firstLine="1134"/>
      <w:contextualSpacing/>
      <w:jc w:val="both"/>
    </w:pPr>
  </w:style>
  <w:style w:type="paragraph" w:styleId="Bezodstpw">
    <w:name w:val="No Spacing"/>
    <w:uiPriority w:val="1"/>
    <w:qFormat/>
    <w:rsid w:val="00050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6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4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4A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634A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63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3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13"/>
    <w:pPr>
      <w:spacing w:after="200" w:line="240" w:lineRule="auto"/>
      <w:ind w:left="720" w:firstLine="1134"/>
      <w:contextualSpacing/>
      <w:jc w:val="both"/>
    </w:pPr>
  </w:style>
  <w:style w:type="paragraph" w:styleId="Bezodstpw">
    <w:name w:val="No Spacing"/>
    <w:uiPriority w:val="1"/>
    <w:qFormat/>
    <w:rsid w:val="00050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6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4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4A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634A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Turek</dc:creator>
  <cp:keywords/>
  <dc:description/>
  <cp:lastModifiedBy>Przemysław Stadnik</cp:lastModifiedBy>
  <cp:revision>8</cp:revision>
  <dcterms:created xsi:type="dcterms:W3CDTF">2020-12-03T07:41:00Z</dcterms:created>
  <dcterms:modified xsi:type="dcterms:W3CDTF">2020-12-04T13:13:00Z</dcterms:modified>
</cp:coreProperties>
</file>