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B0D" w:rsidRDefault="00653B0D" w:rsidP="00052F46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052F46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2</w:t>
      </w:r>
      <w:bookmarkStart w:id="0" w:name="_GoBack"/>
      <w:bookmarkEnd w:id="0"/>
    </w:p>
    <w:p w:rsidR="00653B0D" w:rsidRDefault="00653B0D" w:rsidP="00E7004C">
      <w:pPr>
        <w:spacing w:after="0" w:line="240" w:lineRule="auto"/>
        <w:rPr>
          <w:rFonts w:asciiTheme="minorHAnsi" w:hAnsiTheme="minorHAnsi" w:cstheme="minorHAnsi"/>
        </w:rPr>
      </w:pPr>
    </w:p>
    <w:p w:rsidR="007319B1" w:rsidRPr="00653B0D" w:rsidRDefault="00653B0D" w:rsidP="00E7004C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7319B1" w:rsidRPr="00653B0D">
        <w:rPr>
          <w:rFonts w:asciiTheme="minorHAnsi" w:hAnsiTheme="minorHAnsi" w:cstheme="minorHAnsi"/>
        </w:rPr>
        <w:t>ardiotokograf do monitorowania ciąży pojedynczej</w:t>
      </w:r>
      <w:r>
        <w:rPr>
          <w:rFonts w:asciiTheme="minorHAnsi" w:hAnsiTheme="minorHAnsi" w:cstheme="minorHAnsi"/>
        </w:rPr>
        <w:t xml:space="preserve"> z parametrami matki – 3 szt.</w:t>
      </w:r>
    </w:p>
    <w:p w:rsidR="007319B1" w:rsidRDefault="007319B1" w:rsidP="00E7004C">
      <w:pPr>
        <w:spacing w:after="0" w:line="240" w:lineRule="auto"/>
        <w:rPr>
          <w:rFonts w:ascii="Tahoma" w:hAnsi="Tahoma" w:cs="Tahoma"/>
          <w:b/>
          <w:sz w:val="18"/>
          <w:szCs w:val="18"/>
          <w:u w:val="single"/>
        </w:rPr>
      </w:pPr>
    </w:p>
    <w:p w:rsidR="007319B1" w:rsidRPr="00BF2652" w:rsidRDefault="007319B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Przetwornik ultradźwiękowy 1 MHz, wodoszczelny – 1 szt.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Zakres odczytu dla przetwornika ultradźwiękowego – min. 30-240 </w:t>
            </w:r>
            <w:proofErr w:type="spellStart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Natężenie fali ultradźwiękowej dla przetwornika ≤ 1 </w:t>
            </w:r>
            <w:proofErr w:type="spellStart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mW</w:t>
            </w:r>
            <w:proofErr w:type="spellEnd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/cm²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Możliwość rozbudowy o monitorowanie ciąży bliźniaczej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o monitorowanie ciąży </w:t>
            </w:r>
            <w:proofErr w:type="spellStart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trojaczej</w:t>
            </w:r>
            <w:proofErr w:type="spellEnd"/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Monitorowanie saturacji krwi rodzącej na palec 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Monitorowanie ciśnienia tętniczego krwi rodzącej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o </w:t>
            </w:r>
            <w:r w:rsidRPr="0073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pomiar ciśnienia wewnątrzmacicznego z wykorzystaniem jednorazowego czujnika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Możliwość rozbudowy o e</w:t>
            </w:r>
            <w:r w:rsidRPr="007319B1">
              <w:rPr>
                <w:rFonts w:asciiTheme="minorHAnsi" w:hAnsiTheme="minorHAnsi" w:cstheme="minorHAnsi"/>
                <w:bCs/>
                <w:sz w:val="20"/>
                <w:szCs w:val="20"/>
              </w:rPr>
              <w:t>lektrokardiografie płodu FECG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Możliwość rozbudowy o elektrokardiografie matki MECG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Dokładność obliczania częstości pracy serca płodu  ± 0,25bpm w całym zakresie pomiarowym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Zewnętrzny przetwornik </w:t>
            </w:r>
            <w:proofErr w:type="spellStart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, wodoszczelny – 1 szt.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Funkcja ręcznego i automatycznego zerowania </w:t>
            </w:r>
            <w:proofErr w:type="spellStart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Aparat posiada możliwość ustawienia bazowej </w:t>
            </w:r>
            <w:proofErr w:type="spellStart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  „0” , „10”, „20”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Możliwość zamocowania przetworników na uchwytach przy aparacie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Znacznik zdarzeń dla pacjentki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Funkcja automatycznego wykrywania ruchów płodu i wydruk wykresu aktywności ruchowej płodu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Pr="00A76B6F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Znacznik zdarzeń dla personelu z możliwością wyboru opcji wbudowanych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Alarmy utraty sygnału, wysokiego i niskiego tętna płodu; granice alarmów definiowalne przez użytkownika 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Licznik czasu badania NST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3-stopniowy wskaźnik jakości odbieranego sygnału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Możliwość wprowadzenia do pamięci aparatu daty i czasu oraz danych użytkownika, szpitala, przychodni.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Rozbudowana baza danych zapisów KTG wraz z kalkulatorem ciąży, danymi pacjentki, ciąży, badania KTG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Pojedyncza, możliwa do zapamiętania sesja zapisu KTG nie krótsza niż 90 godzin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56A44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Wbudowana drukarka termiczna o wysokiej rozdzielczości z możliwością wydruku na papierze </w:t>
            </w:r>
            <w:proofErr w:type="spellStart"/>
            <w:r w:rsidRPr="007319B1">
              <w:rPr>
                <w:rFonts w:asciiTheme="minorHAnsi" w:hAnsiTheme="minorHAnsi" w:cstheme="minorHAnsi"/>
                <w:bCs/>
                <w:sz w:val="20"/>
                <w:szCs w:val="20"/>
              </w:rPr>
              <w:t>Sonicaid</w:t>
            </w:r>
            <w:proofErr w:type="spellEnd"/>
            <w:r w:rsidRPr="007319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Philips, GE </w:t>
            </w:r>
            <w:proofErr w:type="spellStart"/>
            <w:r w:rsidRPr="007319B1">
              <w:rPr>
                <w:rFonts w:asciiTheme="minorHAnsi" w:hAnsiTheme="minorHAnsi" w:cstheme="minorHAnsi"/>
                <w:bCs/>
                <w:sz w:val="20"/>
                <w:szCs w:val="20"/>
              </w:rPr>
              <w:t>Corometrics</w:t>
            </w:r>
            <w:proofErr w:type="spellEnd"/>
            <w:r w:rsidRPr="007319B1">
              <w:rPr>
                <w:rFonts w:asciiTheme="minorHAnsi" w:hAnsiTheme="minorHAnsi" w:cstheme="minorHAnsi"/>
                <w:bCs/>
                <w:sz w:val="20"/>
                <w:szCs w:val="20"/>
              </w:rPr>
              <w:t>. (papier gładki i wstępnie zadrukowany)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07370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  <w:vAlign w:val="center"/>
          </w:tcPr>
          <w:p w:rsidR="007319B1" w:rsidRPr="007319B1" w:rsidRDefault="007319B1" w:rsidP="007319B1">
            <w:pPr>
              <w:spacing w:after="0" w:line="280" w:lineRule="atLeast"/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aparat KTG wbudowane dwie  analizy z  interpretacją : przedporodowa  oraz śródporodowa stosowana podczas rozpoczętej akcji porodowej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63A32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  <w:vAlign w:val="center"/>
          </w:tcPr>
          <w:p w:rsidR="007319B1" w:rsidRPr="007319B1" w:rsidRDefault="007319B1" w:rsidP="007319B1">
            <w:pPr>
              <w:spacing w:after="0" w:line="280" w:lineRule="atLeast"/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Wbudowana automatyczna komputerowa kliniczna analiza przedporodowa monitorowanych danych z wydrukiem raportu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063A32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  <w:vAlign w:val="center"/>
          </w:tcPr>
          <w:p w:rsidR="007319B1" w:rsidRPr="007319B1" w:rsidRDefault="007319B1" w:rsidP="007319B1">
            <w:pPr>
              <w:spacing w:after="0" w:line="280" w:lineRule="atLeast"/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Analizowanie przynajmniej 14 parametrów zapisu KTG (min. STV, LTV, wyznaczanie linii bazowej, oznaczanie obszarów wysokiej i niskiej zmienności)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E531EC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29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Aparatu wyposażony w podświetlenie drukarki. (umożliwia ocenę wydruku w zaciemnionym pomieszczeniu np. w nocy)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2C1691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Drukarka umożliwia zapis ciąży mnogiej na tym samym wykresie , z przesunięciem o 20 </w:t>
            </w:r>
            <w:proofErr w:type="spellStart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bpm</w:t>
            </w:r>
            <w:proofErr w:type="spellEnd"/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  , lub na osobnych skalach  (dotyczy papieru bez podziałki) 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2C1691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Dotykowy wyświetlacz LCD o przekątnej ≥8” ,  umożliwiający podgląd monitorowanych parametrów w formie cyfrowej i graficznej.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2C1691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Wyświetlacz LCD ze zmiennym tłem i podświetleniem – w zależności od potrzeb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9625B6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Obsługa aparatu wyłącznie przez ekran dotykowy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9625B6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Możliwość obsługi ekranu dotykowego w rękawiczkach 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6316D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Brak fizycznych przycisków na obudowie – zapewnia dokładną dezynfekcję i utrzymanie w czystości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6316D">
        <w:tc>
          <w:tcPr>
            <w:tcW w:w="310" w:type="pct"/>
            <w:vAlign w:val="center"/>
          </w:tcPr>
          <w:p w:rsidR="007319B1" w:rsidRPr="005841B0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1B0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</w:tcPr>
          <w:p w:rsidR="007319B1" w:rsidRPr="005841B0" w:rsidRDefault="007319B1" w:rsidP="007319B1">
            <w:pPr>
              <w:rPr>
                <w:rFonts w:asciiTheme="minorHAnsi" w:hAnsiTheme="minorHAnsi" w:cstheme="minorHAnsi"/>
              </w:rPr>
            </w:pPr>
            <w:r w:rsidRPr="005841B0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>Współpraca z cyfrowymi systemami centralnego monitorowania oraz oprogramowaniem komputerowym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6316D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Możliwość współpracy z telemetrią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90E62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Aparat wyposażony w wewnętrzną pamięć z możliwością rozbudowy pojemności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90E62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Aparat wyposażony w 2 porty USB umożliwiające archiwizowanie zapamiętanych badań na pamięć zewnętrzną.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90E62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Możliwość podłączenia fizycznej klawiatury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90E62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Aparat wyposażony w co najmniej jeden port RS232 i jeden port LAN 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90E62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 xml:space="preserve">Aparat wyposażony w kliniczna przedporodową komputerową analizę zapisu KTG z zawansowaną interpretacją 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90E62">
        <w:trPr>
          <w:trHeight w:val="466"/>
        </w:trPr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Waga nie więcej niż 6 kg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±5%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BF2652" w:rsidTr="00690E62">
        <w:tc>
          <w:tcPr>
            <w:tcW w:w="310" w:type="pct"/>
            <w:vAlign w:val="center"/>
          </w:tcPr>
          <w:p w:rsidR="007319B1" w:rsidRDefault="007319B1" w:rsidP="007319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285" w:type="pct"/>
          </w:tcPr>
          <w:p w:rsidR="007319B1" w:rsidRPr="007319B1" w:rsidRDefault="007319B1" w:rsidP="007319B1">
            <w:pPr>
              <w:rPr>
                <w:rFonts w:asciiTheme="minorHAnsi" w:hAnsiTheme="minorHAnsi" w:cstheme="minorHAnsi"/>
              </w:rPr>
            </w:pPr>
            <w:r w:rsidRPr="007319B1">
              <w:rPr>
                <w:rFonts w:asciiTheme="minorHAnsi" w:hAnsiTheme="minorHAnsi" w:cstheme="minorHAnsi"/>
                <w:sz w:val="20"/>
                <w:szCs w:val="20"/>
              </w:rPr>
              <w:t>Wymiary 32 x 23 x 24cm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±5%</w:t>
            </w:r>
          </w:p>
        </w:tc>
        <w:tc>
          <w:tcPr>
            <w:tcW w:w="783" w:type="pct"/>
          </w:tcPr>
          <w:p w:rsidR="007319B1" w:rsidRDefault="007319B1" w:rsidP="007319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319B1" w:rsidRPr="00A76B6F" w:rsidRDefault="007319B1" w:rsidP="007319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19B1" w:rsidRPr="001573A3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7319B1" w:rsidRPr="001573A3" w:rsidRDefault="007319B1" w:rsidP="007319B1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7319B1" w:rsidRPr="001573A3" w:rsidRDefault="007319B1" w:rsidP="007319B1">
            <w:pPr>
              <w:rPr>
                <w:rFonts w:cs="Calibri"/>
                <w:sz w:val="20"/>
                <w:szCs w:val="20"/>
              </w:rPr>
            </w:pPr>
          </w:p>
        </w:tc>
      </w:tr>
      <w:tr w:rsidR="007319B1" w:rsidRPr="001573A3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319B1" w:rsidRPr="001573A3" w:rsidRDefault="007319B1" w:rsidP="007319B1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7319B1" w:rsidRPr="001573A3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319B1" w:rsidRPr="001573A3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319B1" w:rsidRPr="001573A3" w:rsidRDefault="007319B1" w:rsidP="007319B1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7319B1" w:rsidRPr="001573A3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3285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319B1" w:rsidRPr="001573A3" w:rsidRDefault="007319B1" w:rsidP="007319B1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7319B1" w:rsidRPr="001573A3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319B1" w:rsidRPr="001573A3" w:rsidRDefault="007319B1" w:rsidP="007319B1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7319B1" w:rsidRPr="00650551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7319B1" w:rsidRPr="00650551" w:rsidRDefault="007319B1" w:rsidP="007319B1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7319B1" w:rsidRPr="00650551" w:rsidRDefault="007319B1" w:rsidP="007319B1"/>
        </w:tc>
      </w:tr>
      <w:tr w:rsidR="007319B1" w:rsidRPr="001573A3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319B1" w:rsidRPr="001573A3" w:rsidRDefault="007319B1" w:rsidP="007319B1">
            <w:pPr>
              <w:rPr>
                <w:rFonts w:cs="Calibri"/>
                <w:sz w:val="20"/>
                <w:szCs w:val="20"/>
              </w:rPr>
            </w:pPr>
          </w:p>
        </w:tc>
      </w:tr>
      <w:tr w:rsidR="007319B1" w:rsidRPr="001573A3" w:rsidTr="00A5074F">
        <w:tc>
          <w:tcPr>
            <w:tcW w:w="310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319B1" w:rsidRPr="001573A3" w:rsidRDefault="007319B1" w:rsidP="007319B1">
            <w:pPr>
              <w:rPr>
                <w:rFonts w:cs="Calibri"/>
                <w:sz w:val="20"/>
                <w:szCs w:val="20"/>
              </w:rPr>
            </w:pPr>
          </w:p>
        </w:tc>
      </w:tr>
      <w:tr w:rsidR="007319B1" w:rsidRPr="001573A3" w:rsidTr="00A5074F">
        <w:tc>
          <w:tcPr>
            <w:tcW w:w="310" w:type="pct"/>
            <w:hideMark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7319B1" w:rsidRPr="001573A3" w:rsidRDefault="007319B1" w:rsidP="007319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7319B1" w:rsidRPr="001573A3" w:rsidRDefault="007319B1" w:rsidP="007319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7319B1" w:rsidRPr="001573A3" w:rsidRDefault="007319B1" w:rsidP="007319B1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234" w:rsidRDefault="00F02234" w:rsidP="0087150F">
      <w:pPr>
        <w:spacing w:after="0" w:line="240" w:lineRule="auto"/>
      </w:pPr>
      <w:r>
        <w:separator/>
      </w:r>
    </w:p>
  </w:endnote>
  <w:endnote w:type="continuationSeparator" w:id="0">
    <w:p w:rsidR="00F02234" w:rsidRDefault="00F02234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234" w:rsidRDefault="00F02234" w:rsidP="0087150F">
      <w:pPr>
        <w:spacing w:after="0" w:line="240" w:lineRule="auto"/>
      </w:pPr>
      <w:r>
        <w:separator/>
      </w:r>
    </w:p>
  </w:footnote>
  <w:footnote w:type="continuationSeparator" w:id="0">
    <w:p w:rsidR="00F02234" w:rsidRDefault="00F02234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F46" w:rsidRDefault="00052F46" w:rsidP="00052F46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052F46" w:rsidRDefault="00052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52F46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6C04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841B0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53B0D"/>
    <w:rsid w:val="0069648A"/>
    <w:rsid w:val="006A47C2"/>
    <w:rsid w:val="006A5E36"/>
    <w:rsid w:val="006C5D47"/>
    <w:rsid w:val="006E086D"/>
    <w:rsid w:val="006F168F"/>
    <w:rsid w:val="0072535E"/>
    <w:rsid w:val="007319B1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4794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73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A0F8C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02234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78E5D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2F46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2F46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E44C5-151A-4AEA-B4E4-229E79408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3</cp:revision>
  <cp:lastPrinted>2022-05-25T09:12:00Z</cp:lastPrinted>
  <dcterms:created xsi:type="dcterms:W3CDTF">2024-01-25T15:10:00Z</dcterms:created>
  <dcterms:modified xsi:type="dcterms:W3CDTF">2024-01-29T11:13:00Z</dcterms:modified>
</cp:coreProperties>
</file>