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3EB7968A" w:rsidR="00372243" w:rsidRPr="00372243" w:rsidRDefault="002F1460" w:rsidP="004B4887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D/84/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>
        <w:rPr>
          <w:rFonts w:ascii="Times New Roman" w:hAnsi="Times New Roman" w:cs="Times New Roman"/>
          <w:b/>
          <w:szCs w:val="18"/>
        </w:rPr>
        <w:t>A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5BAEF5AF" w14:textId="54CBCD06" w:rsidR="002F1460" w:rsidRPr="00372243" w:rsidRDefault="002F1460" w:rsidP="00372243">
      <w:pPr>
        <w:jc w:val="center"/>
        <w:rPr>
          <w:rFonts w:ascii="Times New Roman" w:hAnsi="Times New Roman" w:cs="Times New Roman"/>
          <w:b/>
        </w:rPr>
      </w:pPr>
      <w:r w:rsidRPr="002F1460">
        <w:rPr>
          <w:rFonts w:ascii="Times New Roman" w:hAnsi="Times New Roman" w:cs="Times New Roman"/>
          <w:b/>
          <w:bCs/>
        </w:rPr>
        <w:t xml:space="preserve">Część nr 1 – </w:t>
      </w:r>
      <w:r w:rsidRPr="002F1460">
        <w:rPr>
          <w:rFonts w:ascii="Times New Roman" w:hAnsi="Times New Roman" w:cs="Times New Roman"/>
          <w:b/>
          <w:bCs/>
          <w:i/>
        </w:rPr>
        <w:t xml:space="preserve">Zakup i dostawa laptopów </w:t>
      </w:r>
      <w:r w:rsidR="00451D19" w:rsidRPr="00451D19">
        <w:rPr>
          <w:rFonts w:ascii="Times New Roman" w:hAnsi="Times New Roman" w:cs="Times New Roman"/>
          <w:b/>
          <w:bCs/>
          <w:i/>
        </w:rPr>
        <w:t xml:space="preserve">na potrzeby projektu pt. „Wypracowanie rozwiązań służących przeciwdziałaniu migracji osób młodych z terenów dotkniętych depopulacją” </w:t>
      </w:r>
      <w:r w:rsidRPr="002F1460">
        <w:rPr>
          <w:rFonts w:ascii="Times New Roman" w:hAnsi="Times New Roman" w:cs="Times New Roman"/>
          <w:b/>
          <w:bCs/>
          <w:i/>
        </w:rPr>
        <w:t>– 2 szt.</w:t>
      </w:r>
    </w:p>
    <w:p w14:paraId="72B5A3D2" w14:textId="26D03BA3" w:rsidR="00372243" w:rsidRDefault="00372243" w:rsidP="0053226D">
      <w:pPr>
        <w:tabs>
          <w:tab w:val="left" w:pos="0"/>
        </w:tabs>
        <w:overflowPunct w:val="0"/>
        <w:autoSpaceDE w:val="0"/>
        <w:rPr>
          <w:rFonts w:ascii="Times New Roman" w:hAnsi="Times New Roman" w:cs="Times New Roman"/>
          <w:b/>
          <w:i/>
        </w:rPr>
      </w:pPr>
    </w:p>
    <w:p w14:paraId="7F5D4DE2" w14:textId="3E47AD8C" w:rsidR="00192876" w:rsidRDefault="00192876" w:rsidP="00192876"/>
    <w:tbl>
      <w:tblPr>
        <w:tblStyle w:val="Tabela-Siatka"/>
        <w:tblW w:w="91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0"/>
        <w:gridCol w:w="3120"/>
        <w:gridCol w:w="3794"/>
        <w:gridCol w:w="9"/>
      </w:tblGrid>
      <w:tr w:rsidR="00061F4B" w:rsidRPr="00372243" w14:paraId="72C12E91" w14:textId="77777777" w:rsidTr="00BC2D45">
        <w:trPr>
          <w:trHeight w:val="454"/>
          <w:jc w:val="center"/>
        </w:trPr>
        <w:tc>
          <w:tcPr>
            <w:tcW w:w="9185" w:type="dxa"/>
            <w:gridSpan w:val="5"/>
            <w:shd w:val="clear" w:color="auto" w:fill="auto"/>
            <w:vAlign w:val="center"/>
          </w:tcPr>
          <w:p w14:paraId="6336E1B3" w14:textId="02A28296" w:rsidR="00061F4B" w:rsidRDefault="00061F4B" w:rsidP="00061F4B">
            <w:pPr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530FD0" w14:textId="77777777" w:rsidR="00061F4B" w:rsidRDefault="00061F4B" w:rsidP="00CE7C0A">
            <w:pPr>
              <w:ind w:left="57"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73C96" w14:textId="4003E7E4" w:rsidR="00061F4B" w:rsidRPr="00061F4B" w:rsidRDefault="00061F4B" w:rsidP="00061F4B">
            <w:pPr>
              <w:tabs>
                <w:tab w:val="left" w:pos="0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u w:val="single"/>
              </w:rPr>
            </w:pPr>
            <w:r w:rsidRPr="00061F4B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>LAPTOP</w:t>
            </w:r>
            <w:r w:rsidR="00C51121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 xml:space="preserve"> </w:t>
            </w:r>
            <w:r w:rsidRPr="00061F4B">
              <w:rPr>
                <w:rFonts w:ascii="Times New Roman" w:hAnsi="Times New Roman" w:cs="Times New Roman"/>
                <w:b/>
                <w:color w:val="FF0000"/>
                <w:sz w:val="28"/>
                <w:u w:val="single"/>
              </w:rPr>
              <w:t>– ILOŚĆ – 2 SZT.</w:t>
            </w:r>
          </w:p>
          <w:p w14:paraId="545B5CA5" w14:textId="2F785370" w:rsidR="00061F4B" w:rsidRDefault="00061F4B" w:rsidP="00061F4B">
            <w:pPr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9C0D8F" w14:textId="23A38CC0" w:rsidR="00061F4B" w:rsidRPr="00372243" w:rsidRDefault="00061F4B" w:rsidP="00CE7C0A">
            <w:pPr>
              <w:ind w:left="57"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887" w:rsidRPr="00372243" w14:paraId="0BE0177D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72D0765B" w14:textId="1B831429" w:rsidR="004B4887" w:rsidRPr="00372243" w:rsidRDefault="004B4887" w:rsidP="00061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061F4B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42596430" w14:textId="77777777" w:rsidR="004B4887" w:rsidRPr="00372243" w:rsidRDefault="004B4887" w:rsidP="00372243">
            <w:pPr>
              <w:tabs>
                <w:tab w:val="right" w:pos="45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7A656B43" w14:textId="77777777" w:rsidR="004B4887" w:rsidRPr="00372243" w:rsidRDefault="004B4887" w:rsidP="00CE7C0A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</w:p>
        </w:tc>
      </w:tr>
      <w:tr w:rsidR="004B4887" w:rsidRPr="00372243" w14:paraId="0B3FCDA2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19C47E8" w14:textId="77777777" w:rsidR="004B4887" w:rsidRPr="00372243" w:rsidRDefault="004B4887" w:rsidP="00CE7C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4B4887" w:rsidRPr="00372243" w14:paraId="0D929283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9C080BE" w14:textId="77777777" w:rsidR="004B4887" w:rsidRPr="00372243" w:rsidRDefault="004B4887" w:rsidP="00AB7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</w:tcPr>
          <w:p w14:paraId="0662B1A6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  <w:r w:rsidRPr="00530D93">
              <w:rPr>
                <w:rFonts w:ascii="Times New Roman" w:hAnsi="Times New Roman" w:cs="Times New Roman"/>
                <w:sz w:val="20"/>
              </w:rPr>
              <w:t xml:space="preserve">Procesor umożliwiający uzyskanie w teście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- Single CPU Systems wydajność</w:t>
            </w:r>
          </w:p>
          <w:p w14:paraId="1345E551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B7B1280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i/>
                <w:sz w:val="20"/>
              </w:rPr>
              <w:t>Procesor, którego wynik testu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- Single CPU Systems publikowany jest na stronie </w:t>
            </w:r>
          </w:p>
          <w:p w14:paraId="3B81B84A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b/>
                <w:i/>
                <w:sz w:val="20"/>
                <w:u w:val="single"/>
              </w:rPr>
              <w:t>https://www.cpubenchmark.net/cpu_list.php</w:t>
            </w:r>
          </w:p>
          <w:p w14:paraId="7A87D3CF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D59FBD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Wymóg osiągnięcia w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 - Single CPU Systems</w:t>
            </w:r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wymaganego wyniku dla procesora dotyczy wyniku  osiągniętego na dzień opublikowania ogłoszenia o zamówieniu (</w:t>
            </w:r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wyniki testów</w:t>
            </w:r>
            <w:r w:rsidRPr="00530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- Single CPU Systems z dnia opublikowania ogłoszenia Zamawiający udostępnia jako załącznik do SWZ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 xml:space="preserve">). </w:t>
            </w:r>
          </w:p>
          <w:p w14:paraId="695DF318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14:paraId="652BB16E" w14:textId="5443CCF7" w:rsidR="00BC2D45" w:rsidRPr="00CE7C0A" w:rsidRDefault="00530D93" w:rsidP="00530D93">
            <w:pPr>
              <w:ind w:left="7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po opublikowaniu ogłoszenia, Zamawiający oceniać będzie zgodnie z punktacją w ww. testach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z dnia składania ofert. Wówczas Wykonawca zobowiązany jest załączyć do oferty wynik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ww. testu 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z dnia składania ofert,</w:t>
            </w:r>
            <w:r w:rsidRPr="00530D93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potwierdzający spełnianie przez oferowany procesor wymagań określonych przez Zamawiającego</w:t>
            </w:r>
            <w:r w:rsidRPr="00530D93">
              <w:rPr>
                <w:rFonts w:ascii="Times New Roman" w:hAnsi="Times New Roman" w:cs="Times New Roman"/>
                <w:bCs/>
                <w:i/>
                <w:sz w:val="20"/>
              </w:rPr>
              <w:t>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842C0B2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  <w:p w14:paraId="13E7508C" w14:textId="426D5E47" w:rsidR="004B4887" w:rsidRPr="00372243" w:rsidRDefault="00C51121" w:rsidP="00C5112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4B4887" w:rsidRPr="00372243" w14:paraId="0E538077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EC130F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Wyświetlacz (ekran)</w:t>
            </w:r>
          </w:p>
        </w:tc>
      </w:tr>
      <w:tr w:rsidR="004B4887" w:rsidRPr="00372243" w14:paraId="1D679783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473FBE5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0934F8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Przekątna ekranu (aktywnego obszaru)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E5F48B0" w14:textId="7B0D5A24" w:rsidR="004B4887" w:rsidRPr="00372243" w:rsidRDefault="004B4887" w:rsidP="00C5112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do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włącznie</w:t>
            </w:r>
          </w:p>
        </w:tc>
      </w:tr>
      <w:tr w:rsidR="004B4887" w:rsidRPr="00372243" w14:paraId="40EB3968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A2C3D68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E3C76D3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0A777C2" w14:textId="244B1BA5" w:rsidR="004B4887" w:rsidRPr="00372243" w:rsidRDefault="004B4887" w:rsidP="00C51121">
            <w:pPr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1920x1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pix</w:t>
            </w:r>
            <w:proofErr w:type="spellEnd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WUXGA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) (matowa powłoka matrycy)</w:t>
            </w:r>
          </w:p>
        </w:tc>
      </w:tr>
      <w:tr w:rsidR="004B4887" w:rsidRPr="00372243" w14:paraId="450F367D" w14:textId="77777777" w:rsidTr="0053226D">
        <w:trPr>
          <w:gridAfter w:val="1"/>
          <w:wAfter w:w="9" w:type="dxa"/>
          <w:trHeight w:val="634"/>
          <w:jc w:val="center"/>
        </w:trPr>
        <w:tc>
          <w:tcPr>
            <w:tcW w:w="562" w:type="dxa"/>
            <w:vAlign w:val="center"/>
          </w:tcPr>
          <w:p w14:paraId="1B0614BD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35654D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Kąty widzenia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1C2BFB9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poziomie co najmniej 178 stopni;</w:t>
            </w:r>
          </w:p>
          <w:p w14:paraId="7741D347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pionie co najmniej 178 stopni</w:t>
            </w:r>
          </w:p>
        </w:tc>
      </w:tr>
      <w:tr w:rsidR="004B4887" w:rsidRPr="00372243" w14:paraId="2E6E0C27" w14:textId="77777777" w:rsidTr="00BC2D45">
        <w:trPr>
          <w:gridAfter w:val="1"/>
          <w:wAfter w:w="9" w:type="dxa"/>
          <w:trHeight w:val="722"/>
          <w:jc w:val="center"/>
        </w:trPr>
        <w:tc>
          <w:tcPr>
            <w:tcW w:w="562" w:type="dxa"/>
            <w:vAlign w:val="center"/>
          </w:tcPr>
          <w:p w14:paraId="73AA29E1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215A016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Jasność matrycy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2AB55DD" w14:textId="5EB8FA54" w:rsidR="004B4887" w:rsidRPr="00372243" w:rsidRDefault="009C5089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>in. 400 cd/m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B4887" w:rsidRPr="00372243" w14:paraId="27FD442E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2D74BE36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4B4887" w:rsidRPr="00372243" w14:paraId="0013B3DA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A2D636A" w14:textId="74557CD0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A4BB704" w14:textId="2E897DEA" w:rsidR="004B4887" w:rsidRPr="0050183A" w:rsidRDefault="0083091B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ojemność pamięci operacyjnej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RAM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30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>z możliwością rozbudowy do 64 GB</w:t>
            </w:r>
            <w:r w:rsidR="00AC30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5B908AB" w14:textId="416DCD90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>32 GB</w:t>
            </w:r>
          </w:p>
        </w:tc>
      </w:tr>
      <w:tr w:rsidR="004B4887" w:rsidRPr="00372243" w14:paraId="17BA36F9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0EE766B9" w14:textId="138B977E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E5C8758" w14:textId="389FAB89" w:rsidR="004B4887" w:rsidRPr="0050183A" w:rsidRDefault="0083091B" w:rsidP="00830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ymagana pojemność dysku półprzewodnikowego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EC1350C" w14:textId="291A4EAB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1000 GB </w:t>
            </w:r>
          </w:p>
        </w:tc>
      </w:tr>
      <w:tr w:rsidR="004B4887" w:rsidRPr="00372243" w14:paraId="7A33C92E" w14:textId="77777777" w:rsidTr="0053226D">
        <w:trPr>
          <w:gridAfter w:val="1"/>
          <w:wAfter w:w="9" w:type="dxa"/>
          <w:trHeight w:val="659"/>
          <w:jc w:val="center"/>
        </w:trPr>
        <w:tc>
          <w:tcPr>
            <w:tcW w:w="562" w:type="dxa"/>
            <w:vAlign w:val="center"/>
          </w:tcPr>
          <w:p w14:paraId="5DDBACF2" w14:textId="7A5AF3F4" w:rsidR="004B4887" w:rsidRPr="00372243" w:rsidRDefault="00453BD3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F86AC7C" w14:textId="60847DE9" w:rsidR="004B4887" w:rsidRPr="0050183A" w:rsidRDefault="0083091B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ymagana prędkość zapisu/odczytu sekwencyjnego, dysku półprzewodnikowego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C93F273" w14:textId="4AB9B35A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MB/s</w:t>
            </w:r>
          </w:p>
        </w:tc>
      </w:tr>
      <w:bookmarkEnd w:id="0"/>
      <w:tr w:rsidR="004B4887" w:rsidRPr="00372243" w14:paraId="06DD0F63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013C1A7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Płyta główna - złącza/łączność</w:t>
            </w:r>
          </w:p>
        </w:tc>
      </w:tr>
      <w:tr w:rsidR="004B4887" w:rsidRPr="00372243" w14:paraId="0F499CE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69A3FB2A" w14:textId="266BE78D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3972675" w14:textId="19B4333A" w:rsidR="004B4887" w:rsidRPr="00372243" w:rsidRDefault="00BC2D45" w:rsidP="00372243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 USB TYP-A, minimalna ilość</w:t>
            </w:r>
          </w:p>
          <w:p w14:paraId="28AB1E5D" w14:textId="77777777" w:rsidR="004B4887" w:rsidRPr="00372243" w:rsidRDefault="004B4887" w:rsidP="00372243">
            <w:pPr>
              <w:ind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Przy czym wymaga się portu USB 3.2 Gen.1 w ilości minimum 2 szt.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7B890AE" w14:textId="3FBF9F18" w:rsidR="004B4887" w:rsidRPr="00372243" w:rsidRDefault="00453BD3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B4887" w:rsidRPr="00372243" w14:paraId="100E21B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16161BEC" w14:textId="2A01BE21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939EED2" w14:textId="77777777" w:rsidR="004B4887" w:rsidRPr="00372243" w:rsidRDefault="004B4887" w:rsidP="003722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USB TYP-C z obsługą 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Thunderbolt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4, minimalna ilość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E8BD011" w14:textId="050A2137" w:rsidR="004B4887" w:rsidRPr="00372243" w:rsidRDefault="00453BD3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B4887" w:rsidRPr="00372243" w14:paraId="7EF42555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093125E8" w14:textId="1BA3011A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D87EB61" w14:textId="77777777" w:rsidR="004B4887" w:rsidRPr="00372243" w:rsidRDefault="004B4887" w:rsidP="00372243">
            <w:pPr>
              <w:spacing w:before="120" w:after="12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Karta sieciowa bezprzewodowa Wi-Fi 6, min. zgodna ze standardami: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2C0015F" w14:textId="767D2911" w:rsidR="004B4887" w:rsidRPr="0083091B" w:rsidRDefault="004B4887" w:rsidP="0083091B">
            <w:pPr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IEEE 802.11a/b/g/n/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ax</w:t>
            </w:r>
            <w:proofErr w:type="spellEnd"/>
          </w:p>
        </w:tc>
      </w:tr>
      <w:tr w:rsidR="004B4887" w:rsidRPr="00372243" w14:paraId="01A54B0B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774920E4" w14:textId="34B5C930" w:rsidR="004B4887" w:rsidRPr="00372243" w:rsidRDefault="004B4887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4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B7FC423" w14:textId="7C3DCCE5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Karta sieciowa 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ze złączem RJ45 min. zgodna ze standardami</w:t>
            </w:r>
            <w:r w:rsidR="001E55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(wbudowana w obudowę laptopa)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F944F8C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10BaseTX/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br/>
              <w:t>100BaseTX/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br/>
              <w:t>1000BaseTX</w:t>
            </w:r>
          </w:p>
        </w:tc>
      </w:tr>
      <w:tr w:rsidR="004B4887" w:rsidRPr="00372243" w14:paraId="10A950AF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3D3C9B2B" w14:textId="51C6431B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919A6F9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8278868" w14:textId="77777777" w:rsidR="004B4887" w:rsidRPr="00372243" w:rsidRDefault="004B4887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 w wersji 5.3</w:t>
            </w:r>
          </w:p>
        </w:tc>
      </w:tr>
      <w:tr w:rsidR="004B4887" w:rsidRPr="00372243" w14:paraId="03CB3420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6BEF11E9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Grafika</w:t>
            </w:r>
          </w:p>
        </w:tc>
      </w:tr>
      <w:tr w:rsidR="004B4887" w:rsidRPr="00372243" w14:paraId="244CC87A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259B52C5" w14:textId="1FB52D96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2C30A4F" w14:textId="77777777" w:rsidR="004B4887" w:rsidRPr="00372243" w:rsidRDefault="004B4887" w:rsidP="00372243">
            <w:pPr>
              <w:suppressLineNumbers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Karta graficzna umożliwiająca uzyskanie w teście G3D Mark wydajność:</w:t>
            </w:r>
          </w:p>
          <w:p w14:paraId="1F6F6220" w14:textId="77777777" w:rsidR="004B4887" w:rsidRPr="00372243" w:rsidRDefault="004B4887" w:rsidP="00372243">
            <w:pPr>
              <w:suppressLineNumbers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3D3F1" w14:textId="2ABDA551" w:rsidR="004B4887" w:rsidRDefault="004B4887" w:rsidP="003722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Wynik testu </w:t>
            </w:r>
            <w:proofErr w:type="spellStart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G3D, publikowany na stronie </w:t>
            </w:r>
            <w:hyperlink r:id="rId6" w:history="1">
              <w:r w:rsidR="00AB7643" w:rsidRPr="00914008">
                <w:rPr>
                  <w:rStyle w:val="Hipercze"/>
                  <w:rFonts w:ascii="Times New Roman" w:hAnsi="Times New Roman" w:cs="Times New Roman"/>
                  <w:i/>
                  <w:sz w:val="20"/>
                  <w:szCs w:val="20"/>
                </w:rPr>
                <w:t>https://www.videocardbenchmark.net/GPU_mega_page.html</w:t>
              </w:r>
            </w:hyperlink>
          </w:p>
          <w:p w14:paraId="4F3ED833" w14:textId="202303CC" w:rsidR="00AB7643" w:rsidRPr="00AB7643" w:rsidRDefault="00AB7643" w:rsidP="00AB76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Wymóg osiągnięcia w testach </w:t>
            </w:r>
            <w:proofErr w:type="spellStart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G3D wymaganego wyniku dla </w:t>
            </w:r>
            <w:r w:rsidR="00662D44">
              <w:rPr>
                <w:rFonts w:ascii="Times New Roman" w:hAnsi="Times New Roman" w:cs="Times New Roman"/>
                <w:i/>
                <w:sz w:val="20"/>
                <w:szCs w:val="20"/>
              </w:rPr>
              <w:t>kart graficznych</w:t>
            </w:r>
            <w:r w:rsidRPr="00AB76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dotyczy wyniku  osiągniętego na dzień opublikowania ogłoszenia o zamówieniu w Biuletynie Zamówień Publicznych  </w:t>
            </w:r>
            <w:r w:rsidRPr="002F14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(wyniki testów </w:t>
            </w:r>
            <w:proofErr w:type="spellStart"/>
            <w:r w:rsidRPr="002F14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PassMark</w:t>
            </w:r>
            <w:proofErr w:type="spellEnd"/>
            <w:r w:rsidRPr="002F14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G3D z dnia opublikowania ogłoszenia Zamawiający udostępnia jako załącznik do SWZ)</w:t>
            </w:r>
            <w:r w:rsidRPr="002F146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F14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38F8FDC9" w14:textId="77777777" w:rsidR="00AB7643" w:rsidRPr="00AB7643" w:rsidRDefault="00AB7643" w:rsidP="00AB76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F142EE8" w14:textId="659B8111" w:rsidR="00AB7643" w:rsidRPr="00372243" w:rsidRDefault="00662D44" w:rsidP="00662D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 xml:space="preserve">W przypadku pojawienia się modeli </w:t>
            </w:r>
            <w:r>
              <w:rPr>
                <w:rFonts w:ascii="Times New Roman" w:hAnsi="Times New Roman" w:cs="Times New Roman"/>
                <w:bCs/>
                <w:i/>
                <w:sz w:val="20"/>
              </w:rPr>
              <w:t>kart graficznych</w:t>
            </w: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 xml:space="preserve">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</w:t>
            </w:r>
            <w:r>
              <w:rPr>
                <w:rFonts w:ascii="Times New Roman" w:hAnsi="Times New Roman" w:cs="Times New Roman"/>
                <w:bCs/>
                <w:i/>
                <w:sz w:val="20"/>
              </w:rPr>
              <w:t xml:space="preserve">ą kartę graficzną </w:t>
            </w:r>
            <w:r w:rsidRPr="0050183A">
              <w:rPr>
                <w:rFonts w:ascii="Times New Roman" w:hAnsi="Times New Roman" w:cs="Times New Roman"/>
                <w:bCs/>
                <w:i/>
                <w:sz w:val="20"/>
              </w:rPr>
              <w:t>wymagań określonych przez Zamawiającego.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458467C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  <w:p w14:paraId="1994D279" w14:textId="0E7ACF41" w:rsidR="004B4887" w:rsidRPr="00372243" w:rsidRDefault="00453BD3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000 pkt.</w:t>
            </w:r>
          </w:p>
        </w:tc>
      </w:tr>
      <w:tr w:rsidR="004B4887" w:rsidRPr="00372243" w14:paraId="4FACACB2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30B3A6F2" w14:textId="26BF06BA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gridSpan w:val="2"/>
            <w:vAlign w:val="center"/>
          </w:tcPr>
          <w:p w14:paraId="77185559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Zintegrowane złącza grafiki, minimum:</w:t>
            </w:r>
          </w:p>
        </w:tc>
        <w:tc>
          <w:tcPr>
            <w:tcW w:w="3794" w:type="dxa"/>
            <w:vAlign w:val="center"/>
          </w:tcPr>
          <w:p w14:paraId="7B8F2373" w14:textId="42A9E79A" w:rsidR="004B4887" w:rsidRPr="00372243" w:rsidRDefault="004B4887" w:rsidP="00453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szt. HDMI minimum w wersji 2.</w:t>
            </w:r>
            <w:r w:rsidR="00453B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4B4887" w:rsidRPr="00372243" w14:paraId="34B8177C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0EEFB3BE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4B4887" w:rsidRPr="00372243" w14:paraId="4F3179AE" w14:textId="77777777" w:rsidTr="00BC2D45">
        <w:trPr>
          <w:gridAfter w:val="1"/>
          <w:wAfter w:w="9" w:type="dxa"/>
          <w:trHeight w:val="454"/>
          <w:jc w:val="center"/>
        </w:trPr>
        <w:tc>
          <w:tcPr>
            <w:tcW w:w="562" w:type="dxa"/>
            <w:vAlign w:val="center"/>
          </w:tcPr>
          <w:p w14:paraId="1569B582" w14:textId="7F60C114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364FE51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Klawiatura</w:t>
            </w:r>
          </w:p>
        </w:tc>
        <w:tc>
          <w:tcPr>
            <w:tcW w:w="3794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47D24D9" w14:textId="2F075E57" w:rsidR="004B4887" w:rsidRPr="00372243" w:rsidRDefault="00453BD3" w:rsidP="00453BD3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Podświetlana</w:t>
            </w:r>
          </w:p>
        </w:tc>
      </w:tr>
      <w:tr w:rsidR="004B4887" w:rsidRPr="00372243" w14:paraId="76A5E3E3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3815E546" w14:textId="19CFC0B7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820" w:type="dxa"/>
            <w:gridSpan w:val="2"/>
            <w:vAlign w:val="center"/>
          </w:tcPr>
          <w:p w14:paraId="3F1FFF9F" w14:textId="6724AAEC" w:rsidR="004B4887" w:rsidRDefault="004B4887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Kamera internetowa o rozdzielczości</w:t>
            </w:r>
          </w:p>
          <w:p w14:paraId="3B0978D6" w14:textId="6CCA0A1B" w:rsidR="00453BD3" w:rsidRPr="00372243" w:rsidRDefault="00357CD3" w:rsidP="00357C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453BD3">
              <w:rPr>
                <w:rFonts w:ascii="Times New Roman" w:hAnsi="Times New Roman" w:cs="Times New Roman"/>
                <w:sz w:val="20"/>
                <w:szCs w:val="20"/>
              </w:rPr>
              <w:t xml:space="preserve"> wbudowaną zaślepką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4" w:type="dxa"/>
            <w:vAlign w:val="center"/>
          </w:tcPr>
          <w:p w14:paraId="756D6B60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min. 2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</w:p>
        </w:tc>
      </w:tr>
      <w:tr w:rsidR="004B4887" w:rsidRPr="00372243" w14:paraId="4ACACC01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5524730D" w14:textId="18D718F8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20" w:type="dxa"/>
            <w:gridSpan w:val="2"/>
            <w:vAlign w:val="center"/>
          </w:tcPr>
          <w:p w14:paraId="725E8FAA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mikrofon</w:t>
            </w:r>
          </w:p>
        </w:tc>
        <w:tc>
          <w:tcPr>
            <w:tcW w:w="3794" w:type="dxa"/>
            <w:vAlign w:val="center"/>
          </w:tcPr>
          <w:p w14:paraId="30BA53B6" w14:textId="77777777" w:rsidR="004B4887" w:rsidRPr="00372243" w:rsidRDefault="004B4887" w:rsidP="00CE7C0A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</w:t>
            </w:r>
          </w:p>
        </w:tc>
      </w:tr>
      <w:tr w:rsidR="004B4887" w:rsidRPr="00372243" w14:paraId="4CE730DB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61011A54" w14:textId="796A9C9F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gridSpan w:val="2"/>
            <w:vAlign w:val="center"/>
          </w:tcPr>
          <w:p w14:paraId="025BEBCD" w14:textId="77777777" w:rsidR="004B4887" w:rsidRPr="00372243" w:rsidRDefault="004B4887" w:rsidP="0037224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Wbudowane głośniki:</w:t>
            </w:r>
          </w:p>
        </w:tc>
        <w:tc>
          <w:tcPr>
            <w:tcW w:w="3794" w:type="dxa"/>
            <w:vAlign w:val="center"/>
          </w:tcPr>
          <w:p w14:paraId="1B71BE70" w14:textId="77777777" w:rsidR="004B4887" w:rsidRPr="00372243" w:rsidRDefault="004B4887" w:rsidP="00CE7C0A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 (stereo)</w:t>
            </w:r>
          </w:p>
        </w:tc>
      </w:tr>
      <w:tr w:rsidR="004B4887" w:rsidRPr="00372243" w14:paraId="166F29E5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5C4A21C4" w14:textId="1F591532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gridSpan w:val="2"/>
            <w:vAlign w:val="center"/>
          </w:tcPr>
          <w:p w14:paraId="22FE3EBC" w14:textId="77777777" w:rsidR="004B4887" w:rsidRPr="00372243" w:rsidRDefault="004B4887" w:rsidP="003722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Złącza wejścia/wyjścia audio Jack 3,5mm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(zewnętrzne słuchawki + mikrofon)</w:t>
            </w:r>
          </w:p>
        </w:tc>
        <w:tc>
          <w:tcPr>
            <w:tcW w:w="3794" w:type="dxa"/>
            <w:vAlign w:val="center"/>
          </w:tcPr>
          <w:p w14:paraId="0EB986AB" w14:textId="6A8667E2" w:rsidR="004B4887" w:rsidRPr="00372243" w:rsidRDefault="00AB7643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szt. In, 1 szt. Out </w:t>
            </w:r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lub złącze typu </w:t>
            </w:r>
            <w:proofErr w:type="spellStart"/>
            <w:r w:rsidR="004B4887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combo</w:t>
            </w:r>
            <w:proofErr w:type="spellEnd"/>
          </w:p>
        </w:tc>
      </w:tr>
      <w:tr w:rsidR="004B4887" w:rsidRPr="00372243" w14:paraId="016A994D" w14:textId="77777777" w:rsidTr="00BC2D45">
        <w:tblPrEx>
          <w:jc w:val="left"/>
        </w:tblPrEx>
        <w:trPr>
          <w:gridAfter w:val="1"/>
          <w:wAfter w:w="9" w:type="dxa"/>
          <w:trHeight w:val="454"/>
        </w:trPr>
        <w:tc>
          <w:tcPr>
            <w:tcW w:w="562" w:type="dxa"/>
            <w:vAlign w:val="center"/>
          </w:tcPr>
          <w:p w14:paraId="41A6E745" w14:textId="7B35FC8F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2"/>
            <w:vAlign w:val="center"/>
          </w:tcPr>
          <w:p w14:paraId="3B031AEF" w14:textId="77777777" w:rsidR="004B4887" w:rsidRPr="00372243" w:rsidRDefault="004B4887" w:rsidP="003722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Zabezpieczenie komputera</w:t>
            </w:r>
          </w:p>
        </w:tc>
        <w:tc>
          <w:tcPr>
            <w:tcW w:w="3794" w:type="dxa"/>
            <w:vAlign w:val="center"/>
          </w:tcPr>
          <w:p w14:paraId="012D06A3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moduł pozwalający na zaszyfrowanie zawartości dysku</w:t>
            </w:r>
          </w:p>
          <w:p w14:paraId="37645D74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061F480" w14:textId="5BF6B40C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Czytnik linii papilarnych zintegrowany </w:t>
            </w:r>
            <w:r w:rsidR="00532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obudową laptopa</w:t>
            </w:r>
          </w:p>
        </w:tc>
      </w:tr>
      <w:tr w:rsidR="004B4887" w:rsidRPr="00372243" w14:paraId="3EAE99CE" w14:textId="77777777" w:rsidTr="0053226D">
        <w:tblPrEx>
          <w:jc w:val="left"/>
        </w:tblPrEx>
        <w:trPr>
          <w:trHeight w:val="704"/>
        </w:trPr>
        <w:tc>
          <w:tcPr>
            <w:tcW w:w="562" w:type="dxa"/>
            <w:vAlign w:val="center"/>
          </w:tcPr>
          <w:p w14:paraId="7187E182" w14:textId="6DDB0C0D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23" w:type="dxa"/>
            <w:gridSpan w:val="4"/>
            <w:vAlign w:val="center"/>
          </w:tcPr>
          <w:p w14:paraId="04E31D76" w14:textId="68921718" w:rsidR="004B4887" w:rsidRPr="00372243" w:rsidRDefault="00EB163B" w:rsidP="00337583">
            <w:p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Zasilacz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wraz z kablem USB-C, 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dostosowany do laptopa na napięcie zasilające 230V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(wymagane w laptopie złącze ładowania to USB-C)</w:t>
            </w:r>
          </w:p>
        </w:tc>
      </w:tr>
      <w:tr w:rsidR="004B4887" w:rsidRPr="00372243" w14:paraId="3D804AB7" w14:textId="77777777" w:rsidTr="00BC2D45">
        <w:trPr>
          <w:trHeight w:val="340"/>
          <w:jc w:val="center"/>
        </w:trPr>
        <w:tc>
          <w:tcPr>
            <w:tcW w:w="9185" w:type="dxa"/>
            <w:gridSpan w:val="5"/>
            <w:shd w:val="clear" w:color="auto" w:fill="E7E6E6" w:themeFill="background2"/>
            <w:vAlign w:val="center"/>
          </w:tcPr>
          <w:p w14:paraId="3B35094E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Dodatkowe wymagania</w:t>
            </w:r>
          </w:p>
        </w:tc>
      </w:tr>
      <w:tr w:rsidR="004B4887" w:rsidRPr="00372243" w14:paraId="33DBE753" w14:textId="77777777" w:rsidTr="00BC2D45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7DBF35E1" w14:textId="7359B89A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23" w:type="dxa"/>
            <w:gridSpan w:val="4"/>
            <w:vAlign w:val="center"/>
          </w:tcPr>
          <w:p w14:paraId="2B82EC0E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Certyfikat bezpieczeństwa CE, Zgodność z dyrektywą ROHS</w:t>
            </w:r>
          </w:p>
        </w:tc>
      </w:tr>
      <w:tr w:rsidR="004B4887" w:rsidRPr="00372243" w14:paraId="4D8B501F" w14:textId="77777777" w:rsidTr="00BC2D45">
        <w:trPr>
          <w:gridAfter w:val="1"/>
          <w:wAfter w:w="9" w:type="dxa"/>
          <w:trHeight w:val="340"/>
          <w:jc w:val="center"/>
        </w:trPr>
        <w:tc>
          <w:tcPr>
            <w:tcW w:w="2262" w:type="dxa"/>
            <w:gridSpan w:val="2"/>
            <w:shd w:val="clear" w:color="auto" w:fill="E7E6E6" w:themeFill="background2"/>
            <w:vAlign w:val="center"/>
          </w:tcPr>
          <w:p w14:paraId="1167EFF9" w14:textId="77777777" w:rsidR="004B4887" w:rsidRPr="00372243" w:rsidRDefault="004B4887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</w:tc>
        <w:tc>
          <w:tcPr>
            <w:tcW w:w="6914" w:type="dxa"/>
            <w:gridSpan w:val="2"/>
            <w:shd w:val="clear" w:color="auto" w:fill="E7E6E6" w:themeFill="background2"/>
            <w:vAlign w:val="center"/>
          </w:tcPr>
          <w:p w14:paraId="7B9E4472" w14:textId="01B4D54F" w:rsidR="004B4887" w:rsidRPr="00372243" w:rsidRDefault="004B4887" w:rsidP="00AB7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</w:t>
            </w:r>
            <w:proofErr w:type="spellStart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trial</w:t>
            </w:r>
            <w:proofErr w:type="spellEnd"/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) lub darmową (freeware). Zamawiający zastrzega sobie prawo do weryfikacji legalności zainstalowanego systemu operacyjnego u jego producenta.</w:t>
            </w:r>
          </w:p>
        </w:tc>
      </w:tr>
      <w:tr w:rsidR="004B4887" w:rsidRPr="00372243" w14:paraId="323E377E" w14:textId="77777777" w:rsidTr="00BC2D45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748D898E" w14:textId="1CB29575" w:rsidR="004B4887" w:rsidRPr="00372243" w:rsidRDefault="0071549E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23" w:type="dxa"/>
            <w:gridSpan w:val="4"/>
            <w:vAlign w:val="center"/>
          </w:tcPr>
          <w:p w14:paraId="74E2F3AF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natywnie, w pełnym zakresie, z funkcjonującą w istniejącej strukturze sieciowej Zamawiającego usługą katalogową Microsoft Active Directory</w:t>
            </w:r>
          </w:p>
        </w:tc>
      </w:tr>
    </w:tbl>
    <w:p w14:paraId="5ED9AD19" w14:textId="5FD27EBB" w:rsidR="00372243" w:rsidRDefault="00372243" w:rsidP="005564DC">
      <w:pPr>
        <w:jc w:val="both"/>
      </w:pPr>
    </w:p>
    <w:p w14:paraId="592D99A3" w14:textId="2D3F8608" w:rsidR="005564DC" w:rsidRPr="005564DC" w:rsidRDefault="005564DC" w:rsidP="005564D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244BFBF3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5CFFC8F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CD85132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E7ED089" w14:textId="0C319C5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6472319" w14:textId="521A551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73839A0" w14:textId="7307934D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4AAEB8F" w14:textId="2C1B86B8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70C1C68" w14:textId="66AA9A4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17816E3" w14:textId="5FC385EF" w:rsidR="00522A80" w:rsidRDefault="00522A80" w:rsidP="00451D19">
      <w:pPr>
        <w:pStyle w:val="Stopka"/>
        <w:rPr>
          <w:rFonts w:ascii="Times New Roman" w:hAnsi="Times New Roman" w:cs="Times New Roman"/>
          <w:i/>
          <w:w w:val="105"/>
        </w:rPr>
      </w:pPr>
    </w:p>
    <w:p w14:paraId="6B5AD9D5" w14:textId="1763A310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47358D4" w14:textId="0FFF202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9813D54" w14:textId="7E1A8C1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B7D409F" w14:textId="6F24EDBF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6C1BE5B" w14:textId="01B0A093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00CD016" w14:textId="7777777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B366083" w14:textId="0021542A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8A5906B" w14:textId="63BF7EF1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A01AB15" w14:textId="5E842EAA" w:rsidR="00C600FD" w:rsidRPr="00C600FD" w:rsidRDefault="00C600FD" w:rsidP="00C600FD">
      <w:pPr>
        <w:widowControl w:val="0"/>
        <w:tabs>
          <w:tab w:val="center" w:pos="4536"/>
          <w:tab w:val="right" w:pos="9072"/>
        </w:tabs>
        <w:suppressAutoHyphens/>
        <w:jc w:val="both"/>
        <w:rPr>
          <w:rFonts w:ascii="Times New Roman" w:eastAsia="DejaVu Sans" w:hAnsi="Times New Roman" w:cs="Mangal"/>
          <w:color w:val="00000A"/>
          <w:kern w:val="2"/>
          <w:sz w:val="20"/>
          <w:szCs w:val="21"/>
          <w:lang w:eastAsia="zh-CN" w:bidi="hi-IN"/>
        </w:rPr>
      </w:pPr>
      <w:r w:rsidRPr="00C600FD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>Oświadczam, iż w związku z realizacją przedmiotowego zamówienia zostały uwzględnione w opisie przedmiotu zamówienia wymogi dostępności dla osób ze szczególnymi potrzebami zgodnie z zasadami wynikającymi z postanowień ustawy z dnia 19 lipca 2019 r. o zapewnieniu dostępności osobom ze szczególnymi potrzebami (Dz.U. z 2022 r., poz. 2240 ze zm.)</w:t>
      </w:r>
    </w:p>
    <w:p w14:paraId="751591CA" w14:textId="59A5F610" w:rsidR="00EC5198" w:rsidRPr="00AD02B4" w:rsidRDefault="00EC5198" w:rsidP="0071549E">
      <w:pPr>
        <w:rPr>
          <w:sz w:val="28"/>
        </w:rPr>
      </w:pPr>
    </w:p>
    <w:sectPr w:rsidR="00EC5198" w:rsidRPr="00AD02B4" w:rsidSect="00254508">
      <w:headerReference w:type="first" r:id="rId7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356A9" w14:textId="7DCC5479" w:rsidR="00451D19" w:rsidRPr="006B2244" w:rsidRDefault="002F1460" w:rsidP="00451D19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2F1460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451D19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6468F7D" wp14:editId="1BFB7BBD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1D19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9C6C686" wp14:editId="79BAB361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708FBA" w14:textId="77777777" w:rsidR="00451D19" w:rsidRPr="00451D19" w:rsidRDefault="00451D19" w:rsidP="00451D19">
    <w:pPr>
      <w:tabs>
        <w:tab w:val="center" w:pos="5244"/>
        <w:tab w:val="right" w:pos="10488"/>
      </w:tabs>
      <w:suppressAutoHyphens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451D19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503A7B83" w14:textId="04319FF5" w:rsidR="002F1460" w:rsidRPr="002F1460" w:rsidRDefault="002F1460" w:rsidP="00451D19">
    <w:pPr>
      <w:tabs>
        <w:tab w:val="center" w:pos="5244"/>
        <w:tab w:val="right" w:pos="10488"/>
      </w:tabs>
      <w:suppressAutoHyphens/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0F693377">
          <wp:simplePos x="0" y="0"/>
          <wp:positionH relativeFrom="column">
            <wp:posOffset>2176780</wp:posOffset>
          </wp:positionH>
          <wp:positionV relativeFrom="paragraph">
            <wp:posOffset>629920</wp:posOffset>
          </wp:positionV>
          <wp:extent cx="1590675" cy="295910"/>
          <wp:effectExtent l="0" t="0" r="9525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E0C85"/>
    <w:rsid w:val="00110172"/>
    <w:rsid w:val="00180579"/>
    <w:rsid w:val="00192876"/>
    <w:rsid w:val="001E557F"/>
    <w:rsid w:val="001E6507"/>
    <w:rsid w:val="00254508"/>
    <w:rsid w:val="002E7D50"/>
    <w:rsid w:val="002F1460"/>
    <w:rsid w:val="00337583"/>
    <w:rsid w:val="00357CD3"/>
    <w:rsid w:val="00360EC9"/>
    <w:rsid w:val="00372243"/>
    <w:rsid w:val="003823CA"/>
    <w:rsid w:val="003A1EB5"/>
    <w:rsid w:val="003D4EC8"/>
    <w:rsid w:val="00420AEB"/>
    <w:rsid w:val="00451D19"/>
    <w:rsid w:val="00453BD3"/>
    <w:rsid w:val="00487879"/>
    <w:rsid w:val="004B4887"/>
    <w:rsid w:val="004D4357"/>
    <w:rsid w:val="0050183A"/>
    <w:rsid w:val="00522A80"/>
    <w:rsid w:val="00530D93"/>
    <w:rsid w:val="0053226D"/>
    <w:rsid w:val="00555B5D"/>
    <w:rsid w:val="005564DC"/>
    <w:rsid w:val="00562F2A"/>
    <w:rsid w:val="00576B84"/>
    <w:rsid w:val="005D3EB8"/>
    <w:rsid w:val="00637CC5"/>
    <w:rsid w:val="00662D44"/>
    <w:rsid w:val="0066620E"/>
    <w:rsid w:val="006674C0"/>
    <w:rsid w:val="006C07B7"/>
    <w:rsid w:val="0071549E"/>
    <w:rsid w:val="007710B9"/>
    <w:rsid w:val="007879A6"/>
    <w:rsid w:val="0083091B"/>
    <w:rsid w:val="00832AAA"/>
    <w:rsid w:val="008630B1"/>
    <w:rsid w:val="00875D42"/>
    <w:rsid w:val="008907F6"/>
    <w:rsid w:val="008D10BD"/>
    <w:rsid w:val="00970CD5"/>
    <w:rsid w:val="009C5089"/>
    <w:rsid w:val="00A258EE"/>
    <w:rsid w:val="00AB7643"/>
    <w:rsid w:val="00AC304F"/>
    <w:rsid w:val="00AD02B4"/>
    <w:rsid w:val="00AE7A89"/>
    <w:rsid w:val="00B031A1"/>
    <w:rsid w:val="00B91140"/>
    <w:rsid w:val="00BC2D45"/>
    <w:rsid w:val="00C51121"/>
    <w:rsid w:val="00C600FD"/>
    <w:rsid w:val="00CE7C0A"/>
    <w:rsid w:val="00D2071D"/>
    <w:rsid w:val="00D66A31"/>
    <w:rsid w:val="00DA7D64"/>
    <w:rsid w:val="00DD70AF"/>
    <w:rsid w:val="00E12CC5"/>
    <w:rsid w:val="00E25D3F"/>
    <w:rsid w:val="00EA5C95"/>
    <w:rsid w:val="00EB163B"/>
    <w:rsid w:val="00EC5198"/>
    <w:rsid w:val="00F91E10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B623AECA-BE32-4F23-A9F2-DAB5EDD0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ideocardbenchmark.net/GPU_mega_pag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32</cp:revision>
  <dcterms:created xsi:type="dcterms:W3CDTF">2024-03-18T06:49:00Z</dcterms:created>
  <dcterms:modified xsi:type="dcterms:W3CDTF">2024-10-30T08:45:00Z</dcterms:modified>
</cp:coreProperties>
</file>