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Ind w:w="-1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42"/>
      </w:tblGrid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ind w:left="-84" w:right="-102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ind w:left="-84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ind w:left="-84" w:firstLine="52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:rsidR="007836F6" w:rsidRPr="00836DAF" w:rsidRDefault="007836F6" w:rsidP="00900CD9">
            <w:pPr>
              <w:pStyle w:val="Style2"/>
              <w:widowControl/>
              <w:spacing w:line="360" w:lineRule="auto"/>
              <w:ind w:left="-84" w:firstLine="52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/</w:t>
            </w: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ind w:left="-84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Typ: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7836F6" w:rsidRDefault="007836F6" w:rsidP="007836F6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</w:rPr>
            </w:pPr>
            <w:r w:rsidRPr="007836F6">
              <w:rPr>
                <w:rStyle w:val="FontStyle22"/>
                <w:rFonts w:ascii="Times New Roman" w:hAnsi="Times New Roman" w:cs="Times New Roman"/>
                <w:b/>
                <w:sz w:val="28"/>
              </w:rPr>
              <w:t>Komputer przenośny TYP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9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ind w:left="-84" w:firstLine="108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Model i producent………………………………</w:t>
            </w:r>
            <w:r>
              <w:rPr>
                <w:rStyle w:val="FontStyle22"/>
                <w:rFonts w:ascii="Times New Roman" w:hAnsi="Times New Roman" w:cs="Times New Roman"/>
              </w:rPr>
              <w:t>…….</w:t>
            </w:r>
            <w:r w:rsidRPr="00836DAF">
              <w:rPr>
                <w:rStyle w:val="FontStyle22"/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Zastosowanie: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Komputer będzie </w:t>
            </w:r>
            <w:r>
              <w:rPr>
                <w:rFonts w:ascii="Times New Roman" w:hAnsi="Times New Roman" w:cs="Times New Roman"/>
              </w:rPr>
              <w:t xml:space="preserve">mógł być </w:t>
            </w:r>
            <w:r w:rsidRPr="00836DAF">
              <w:rPr>
                <w:rFonts w:ascii="Times New Roman" w:hAnsi="Times New Roman" w:cs="Times New Roman"/>
              </w:rPr>
              <w:t>wykorzystywany dla potrzeb aplikacji biurowych, aplikacji edukacyjnych, dostępu do Internetu oraz poczty elektronicznej.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Ekran: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17.3" o rozdzielczości FHD (min. 1920x1080 przy 60Hz) z powłoką przeciwodblaskową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rPr>
          <w:trHeight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Procesor: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10 rdzeni i 12 wątków, ze zintegrowaną grafiką, minimum 12MB cache, osiągający w teście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PassMark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CPU Mark wynik min. 13500 punktów na dzień 28.11.2023 (należy dołączyć wydruk ze strony </w:t>
            </w:r>
            <w:hyperlink r:id="rId4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oferowanego procesora).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Pamięć operacyjna:  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 xml:space="preserve">min. DDR4 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16 </w:t>
            </w:r>
            <w:r w:rsidRPr="00836DAF">
              <w:rPr>
                <w:rStyle w:val="FontStyle22"/>
                <w:rFonts w:ascii="Times New Roman" w:hAnsi="Times New Roman" w:cs="Times New Roman"/>
              </w:rPr>
              <w:t>GB o taktowaniu nie niższym niż 3200MHz, możliwość rozbudowy pamięci do 64GB</w:t>
            </w:r>
            <w:r>
              <w:rPr>
                <w:rStyle w:val="FontStyle22"/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Parametry pamięci masowej: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Dysk SSD M2 NVME o pojemności min. 500GB, prędkość odczytu/zapisu minimum: 4000/3600 MB/s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Karta graficzna: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Zintegrowana z procesorem z dynamicznie przydzielaną pamięcią współdzieloną.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Wyposażenie multimedialne: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Karta dźwiękowa zintegrowana z płytą główną, zgodna z High Definition, wbudowane głośniki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Płyta główna: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Wyposażona przez producenta w dedykowany chipset dla oferowanego procesora.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Wbudowana karta sieci bezprzewodowej 802.11 a/b/g/n/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ac</w:t>
            </w:r>
            <w:proofErr w:type="spellEnd"/>
            <w:r w:rsidRPr="00836DAF">
              <w:rPr>
                <w:rFonts w:ascii="Times New Roman" w:hAnsi="Times New Roman" w:cs="Times New Roman"/>
              </w:rPr>
              <w:t>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ax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, moduł Bluetooth w wersji min. 5.2, karta sieciowa 10/100/1000 ze złączem RJ-45,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Klawiatura: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Układ klawiszy US, klawiatura podświetlana z możliwością 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regulacji </w:t>
            </w:r>
            <w:r w:rsidRPr="00836DAF">
              <w:rPr>
                <w:rFonts w:ascii="Times New Roman" w:eastAsia="Times New Roman" w:hAnsi="Times New Roman" w:cs="Times New Roman"/>
              </w:rPr>
              <w:lastRenderedPageBreak/>
              <w:t>podświetlenia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, wydzielony blok klawiszy numerycznych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Bateria i zasilanie: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Komputer wyposażony w baterię o pojemności min. 49Wh umożliwiającą pracę do 10h bez ładowania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Gwarancja: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 xml:space="preserve">Min. 24 miesiące 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</w:rPr>
              <w:t>-to-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</w:rPr>
              <w:t>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Gwarancja musi być realizowana przez producenta lub autoryzowan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serwis partnera producenta.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sprawdzenia konfiguracji oraz okresu gwarancji na stronie producenta po podaniu numeru seryjnego sprzętu.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wydłużenia gwarancji do 5 lat w trakcie trwania okresu gwarancji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Certyfikaty: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Certyfikat CE, ISO14001, ISO9001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:rsidR="007836F6" w:rsidRPr="00836DAF" w:rsidRDefault="007836F6" w:rsidP="00900CD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W pełni będzie integrował się z istniejącą usługą Active Directory, w tym GPO (m.in. automatyzacja procesów instalacji oprogramowania). Wykonawca ma obowiązek dostarczyć sprzęt z systemem operacyjnym Windows 11 Pro PL (wersja 64 – bitowa).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Klucz systemu musi być zapisany trwale w BIOS i umożliwiać instalację systemu operacyjnego z nośnika lub napędu lub zdalnie bez potrzeby ręcznego wpisywania klucza licencyjnego.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Na sprzęcie powinien być umieszczony symbol legalności systemu operacyjnego w formie naklejki/hologramu potwierdzający jego autentyczność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Default"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Wymagania dodatkowe: 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kamera internetowa trwale zainstalowana w obudowie matrycy, wejście audio, wbudowany mikrofon, wbudowane głośniki, czytnik kart pamięci, złącza USB – min. 4 szt. w tym 1x USB 3.1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-C z opcją ładowania laptopa, 1x USB 2.0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  oraz 2x USB 3.2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-A, wyjście HDMI, ,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Touchpad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, TPM 2.0, gniazdo </w:t>
            </w:r>
            <w:proofErr w:type="spellStart"/>
            <w:r w:rsidRPr="00836DAF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Lock, waga max 2.2 kg, sprzęt fabrycznie nowy, oryginalnie zapakowany, bez śladów użytkowania.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pobrania sterowników oraz obrazu systemu operacyjnego ze strony producenta po podaniu numeru seryjnego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Laptop trwale oznaczony logo producenta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5A6B" w:rsidRDefault="005E5A6B"/>
    <w:tbl>
      <w:tblPr>
        <w:tblW w:w="930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228"/>
      </w:tblGrid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Spełnia </w:t>
            </w:r>
          </w:p>
          <w:p w:rsidR="007836F6" w:rsidRPr="00836DAF" w:rsidRDefault="007836F6" w:rsidP="00900CD9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Typ:</w:t>
            </w:r>
          </w:p>
        </w:tc>
        <w:tc>
          <w:tcPr>
            <w:tcW w:w="8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7836F6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</w:rPr>
            </w:pPr>
            <w:r w:rsidRPr="007836F6">
              <w:rPr>
                <w:rStyle w:val="FontStyle22"/>
                <w:rFonts w:ascii="Times New Roman" w:hAnsi="Times New Roman" w:cs="Times New Roman"/>
                <w:b/>
                <w:sz w:val="28"/>
              </w:rPr>
              <w:t>Komputer przenośny TYP 2</w:t>
            </w:r>
          </w:p>
        </w:tc>
      </w:tr>
      <w:tr w:rsidR="007836F6" w:rsidRPr="00836DAF" w:rsidTr="00900CD9">
        <w:tc>
          <w:tcPr>
            <w:tcW w:w="9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Model i producent…………………………………………………………………………………</w:t>
            </w: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Zastosowanie: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Komputer będzie </w:t>
            </w:r>
            <w:r>
              <w:rPr>
                <w:rFonts w:ascii="Times New Roman" w:hAnsi="Times New Roman" w:cs="Times New Roman"/>
              </w:rPr>
              <w:t xml:space="preserve">mógł być </w:t>
            </w:r>
            <w:r w:rsidRPr="00836DAF">
              <w:rPr>
                <w:rFonts w:ascii="Times New Roman" w:hAnsi="Times New Roman" w:cs="Times New Roman"/>
              </w:rPr>
              <w:t>wykorzystywany dla potrzeb aplikacji biurowych, aplikacji edukacyjnych, dostępu do Internetu oraz poczty elektronicznej.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Ekran: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17.3" o rozdzielczości FHD (min. 1920x1080 przy 60Hz) z powłoką przeciwodblaskową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rPr>
          <w:trHeight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Procesor: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14 rdzeni i 20 wątków, ze zintegrowaną grafiką, minimum 24MB cache, osiągający w teście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PassMark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CPU Mark wynik min. 28000 punktów na dzień 28.11.2023 (należy dołączyć wydruk ze strony </w:t>
            </w:r>
            <w:hyperlink r:id="rId5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oferowanego procesora).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Pamięć operacyjna:  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min. DDR4 16GB o taktowaniu nie niższym niż 3200MHz, możliwość rozbudowy pamięci do 64GB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Parametry pamięci masowej: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Dysk SSD M2 NVME o pojemności min. 1TB, prędkość odczytu/zapisu minimum: 6500/5000 MB/s, możliwoś</w:t>
            </w:r>
            <w:r>
              <w:rPr>
                <w:rFonts w:ascii="Times New Roman" w:hAnsi="Times New Roman" w:cs="Times New Roman"/>
              </w:rPr>
              <w:t>ć</w:t>
            </w:r>
            <w:r w:rsidRPr="00836DAF">
              <w:rPr>
                <w:rFonts w:ascii="Times New Roman" w:hAnsi="Times New Roman" w:cs="Times New Roman"/>
              </w:rPr>
              <w:t xml:space="preserve"> monta</w:t>
            </w:r>
            <w:r>
              <w:rPr>
                <w:rFonts w:ascii="Times New Roman" w:hAnsi="Times New Roman" w:cs="Times New Roman"/>
              </w:rPr>
              <w:t>ż</w:t>
            </w:r>
            <w:r w:rsidRPr="00836DAF">
              <w:rPr>
                <w:rFonts w:ascii="Times New Roman" w:hAnsi="Times New Roman" w:cs="Times New Roman"/>
              </w:rPr>
              <w:t>u dodatkowego dysku w obudowie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Karta graficzna: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minimum 4Gb pamięci własnej, osiągająca w teście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PassMark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CPU Mark wynik min. 7000 punktów na dzień 28.11.2023 (należy dołączyć wydruk ze strony </w:t>
            </w:r>
            <w:hyperlink r:id="rId6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https://www.videocardbenchmark.net/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oferowanej grafiki).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Wyposażenie multimedialne: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Karta dźwiękowa zintegrowana z płytą główną, zgodna z High Definition, wbudowane głośniki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Płyta główna: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Wyposażona przez producenta w dedykowany chipset dla oferowanego procesora.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Wbudowana karta sieci bezprzewodowej 802.11 a/b/g/n/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ac</w:t>
            </w:r>
            <w:proofErr w:type="spellEnd"/>
            <w:r w:rsidRPr="00836DAF">
              <w:rPr>
                <w:rFonts w:ascii="Times New Roman" w:hAnsi="Times New Roman" w:cs="Times New Roman"/>
              </w:rPr>
              <w:t>/</w:t>
            </w:r>
            <w:proofErr w:type="spellStart"/>
            <w:r w:rsidRPr="00836DAF">
              <w:rPr>
                <w:rFonts w:ascii="Times New Roman" w:hAnsi="Times New Roman" w:cs="Times New Roman"/>
              </w:rPr>
              <w:t>ax</w:t>
            </w:r>
            <w:proofErr w:type="spellEnd"/>
            <w:r w:rsidRPr="00836DAF">
              <w:rPr>
                <w:rFonts w:ascii="Times New Roman" w:hAnsi="Times New Roman" w:cs="Times New Roman"/>
              </w:rPr>
              <w:t>, moduł Bluetooth w wersji min. 5.2, karta sieciowa 10/100/1000 ze złączem RJ-45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Klawiatura: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Układ klawiszy US, klawiatura podświetlana z możliwością 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regulacji podświetlenia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, wydzielony blok klawiszy numerycznych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Bateria i zasilanie: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Komputer wyposażony w baterię o pojemności min. 53Wh umożliwiającą pracę do 4h bez ładowania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Gwarancja: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 xml:space="preserve">Min. 24 miesiące 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</w:rPr>
              <w:t>-to-</w:t>
            </w:r>
            <w:proofErr w:type="spellStart"/>
            <w:r w:rsidRPr="00836DAF">
              <w:rPr>
                <w:rStyle w:val="FontStyle22"/>
                <w:rFonts w:ascii="Times New Roman" w:hAnsi="Times New Roman" w:cs="Times New Roman"/>
              </w:rPr>
              <w:t>door</w:t>
            </w:r>
            <w:proofErr w:type="spellEnd"/>
            <w:r w:rsidRPr="00836DAF">
              <w:rPr>
                <w:rStyle w:val="FontStyle22"/>
                <w:rFonts w:ascii="Times New Roman" w:hAnsi="Times New Roman" w:cs="Times New Roman"/>
              </w:rPr>
              <w:t>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Gwarancja musi być realizowana przez producenta lub autoryzowanego serwis partnera producenta.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sprawdzenia konfiguracji oraz okresu gwarancji na stronie producenta po podaniu numeru seryjnego sprzętu.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wydłużenia gwarancji do 5 lat w trakcie trwania okresu gwarancji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Certyfikaty:</w:t>
            </w:r>
          </w:p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Certyfikat CE, ISO14001, ISO9001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:rsidR="007836F6" w:rsidRPr="00836DAF" w:rsidRDefault="007836F6" w:rsidP="00900CD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W pełni będzie integrował się z istniejącą usługą Active Directory, w tym GPO (m.in. automatyzacja procesów instalacji oprogramowania). Wykonawca ma obowiązek dostarczyć sprzęt z systemem operacyjnym Windows 11 Pro PL (wersja 64 – bitowa).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Klucz systemu musi być zapisany trwale w BIOS i umożliwiać instalację systemu operacyjnego z nośnika lub napędu lub zdalnie bez potrzeby ręcznego wpisywania klucza licencyjnego.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Na sprzęcie powinien być umieszczony symbol legalności systemu operacyjnego w formie naklejki/hologramu potwierdzający jego autentyczność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Wymagania dodatkowe: 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kamera internetowa trwale zainstalowana w obudowie matrycy, wejście audio, wbudowany mikrofon, wbudowane głośniki, czytnik kart pamięci, złącza USB – min. 4 szt. w tym 1x USB 3.1 </w:t>
            </w:r>
            <w:proofErr w:type="spellStart"/>
            <w:r w:rsidRPr="0029232D">
              <w:rPr>
                <w:rFonts w:ascii="Times New Roman" w:hAnsi="Times New Roman" w:cs="Times New Roman"/>
              </w:rPr>
              <w:t>Type</w:t>
            </w:r>
            <w:proofErr w:type="spellEnd"/>
            <w:r w:rsidRPr="0029232D">
              <w:rPr>
                <w:rFonts w:ascii="Times New Roman" w:hAnsi="Times New Roman" w:cs="Times New Roman"/>
              </w:rPr>
              <w:t xml:space="preserve">-C z </w:t>
            </w:r>
            <w:r w:rsidRPr="0029232D">
              <w:rPr>
                <w:rFonts w:ascii="Times New Roman" w:hAnsi="Times New Roman" w:cs="Times New Roman"/>
              </w:rPr>
              <w:lastRenderedPageBreak/>
              <w:t>opcją ładowania laptopa</w:t>
            </w:r>
            <w:r w:rsidRPr="00836DAF">
              <w:rPr>
                <w:rFonts w:ascii="Times New Roman" w:hAnsi="Times New Roman" w:cs="Times New Roman"/>
              </w:rPr>
              <w:t xml:space="preserve">, 1x USB 2.0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  oraz 2x USB 3.2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Type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-A, wyjście HDMI, , </w:t>
            </w:r>
            <w:proofErr w:type="spellStart"/>
            <w:r w:rsidRPr="00836DAF">
              <w:rPr>
                <w:rFonts w:ascii="Times New Roman" w:hAnsi="Times New Roman" w:cs="Times New Roman"/>
              </w:rPr>
              <w:t>Touchpad</w:t>
            </w:r>
            <w:proofErr w:type="spellEnd"/>
            <w:r w:rsidRPr="00836DAF">
              <w:rPr>
                <w:rFonts w:ascii="Times New Roman" w:hAnsi="Times New Roman" w:cs="Times New Roman"/>
              </w:rPr>
              <w:t>, TPM 2.0, 1x mini DP, waga max 2.5 kg, sprzęt fabrycznie nowy, oryginalnie zapakowany, bez śladów użytkowania.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pobrania sterowników oraz obrazu systemu operacyjnego ze strony producenta po podaniu numeru seryjnego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Laptop trwale oznaczony logo producenta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Oprogramowanie biurowe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 Zintegrowany pakiet oprogramowania biurowego o parametrach minimum: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(w ofercie wymagane jest podanie producenta pakietu oraz pełnej nazwy pakietu oraz jego wersji.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 polskiej wersji językowej zawierający edytor tekstu, arkusz kalkulacyjny, program do tworzenia prezentacji, aplikację służącą do obsługi poczty elektronicznej i organizacji czasu, (dostarczenie produktów pochodzących od różnych producentów nie będzie uznane za ofertę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zintegrowanego pakietu, pakiet biurowy musi spełniać wymagania poprzez wbudowane mechanizmy, bez użycia dodatkowych aplikacji),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całkowicie zlokalizowany w języku polskim system komunikatów, interfejsu użytkownika i podręcznej pomocy technicznej,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prostota i intuicyjność obsługi, pozwalająca na pracę osobom nieposiadającym umiejętności technicznych,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ze względu na wdrożoną u Zamawiającego usługę katalogową Active Directory dostarczone oprogramowanie musi mieć możliwość zarządzania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ustawieniami poprzez polisy GPO oraz umożliwiać centralne zarządzanie i dystrybuowanie aktualizacji,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dostępność pakietu w wersjach 32-bit oraz 64-bit umożliwiającej wykorzystanie ponad 2 GB przestrzeni adresowej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pakiet musi umożliwiać tworzenie i edycję dokumentów elektronicznych ustalonym formacie, który spełnia następujące warunki: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a) posiada kompletny i publicznie dostępny opis formatu,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b) ma zdefiniowany układ informacji w postaci XML zgodnie z Załącznikiem 2 Rozporządzenia Rady Ministrów z dnia 12 kwietnia 2012 r.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 sprawie Krajowych Ram Interoperacyjności, minimalnych wymagań dla </w:t>
            </w:r>
            <w:r w:rsidRPr="00836DAF">
              <w:rPr>
                <w:rFonts w:ascii="Times New Roman" w:hAnsi="Times New Roman" w:cs="Times New Roman"/>
              </w:rPr>
              <w:lastRenderedPageBreak/>
              <w:t>rejestrów publicznych i wymiany informacji w postaci elektronicznej oraz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minimalnych wymagań dla systemów teleinformatycznych (Dz.U. 2012, poz. 526),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c) pozwala zapisywać dokumenty w formacie XML.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pakiet musi umożliwiać dostosowanie dokumentów i szablonów do potrzeb instytucji.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do pakietu musi być dostępna pełna dokumentacja w języku polskim.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 skład oprogramowania muszą wchodzić narzędzia programistyczne umożliwiające automatyzację pracy i wymianę danych pomiędzy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dokumentami i aplikacjami (język makropoleceń, język skryptowy),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umożliwiający pracę grupową na dokumentach stworzonych w MS Office w wersji co najmniej 2007, w pełni obsługujący wszystkie istniejące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dokumenty Zamawiającego (utworzone przy pomocy Microsoft Word, Excel, PowerPoint w wersjach 2007, 2010, 2013, 2016, 2019, 2021 z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zapewnieniem niezawodnej konwersji wszystkich elementów i atrybutów dokumentów - wspierający formaty plików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doc</w:t>
            </w:r>
            <w:proofErr w:type="spellEnd"/>
            <w:r w:rsidRPr="00836DAF">
              <w:rPr>
                <w:rFonts w:ascii="Times New Roman" w:hAnsi="Times New Roman" w:cs="Times New Roman"/>
              </w:rPr>
              <w:t>,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docx</w:t>
            </w:r>
            <w:proofErr w:type="spellEnd"/>
            <w:r w:rsidRPr="00836DAF">
              <w:rPr>
                <w:rFonts w:ascii="Times New Roman" w:hAnsi="Times New Roman" w:cs="Times New Roman"/>
              </w:rPr>
              <w:t>, .xls,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xlsx</w:t>
            </w:r>
            <w:proofErr w:type="spellEnd"/>
            <w:r w:rsidRPr="00836DAF">
              <w:rPr>
                <w:rFonts w:ascii="Times New Roman" w:hAnsi="Times New Roman" w:cs="Times New Roman"/>
              </w:rPr>
              <w:t>, .</w:t>
            </w:r>
            <w:proofErr w:type="spellStart"/>
            <w:r w:rsidRPr="00836DAF">
              <w:rPr>
                <w:rFonts w:ascii="Times New Roman" w:hAnsi="Times New Roman" w:cs="Times New Roman"/>
              </w:rPr>
              <w:t>ppt</w:t>
            </w:r>
            <w:proofErr w:type="spellEnd"/>
            <w:r w:rsidRPr="00836DAF">
              <w:rPr>
                <w:rFonts w:ascii="Times New Roman" w:hAnsi="Times New Roman" w:cs="Times New Roman"/>
              </w:rPr>
              <w:t>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.</w:t>
            </w:r>
            <w:proofErr w:type="spellStart"/>
            <w:r w:rsidRPr="00836DAF">
              <w:rPr>
                <w:rFonts w:ascii="Times New Roman" w:hAnsi="Times New Roman" w:cs="Times New Roman"/>
              </w:rPr>
              <w:t>pptx</w:t>
            </w:r>
            <w:proofErr w:type="spellEnd"/>
            <w:r w:rsidRPr="00836DAF">
              <w:rPr>
                <w:rFonts w:ascii="Times New Roman" w:hAnsi="Times New Roman" w:cs="Times New Roman"/>
              </w:rPr>
              <w:t>) oraz w pełni kompatybilny z posiadanym oprogramowaniem Zamawiającego wykorzystującym międzysystemową wymianę danych, bez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DAF">
              <w:rPr>
                <w:rFonts w:ascii="Times New Roman" w:hAnsi="Times New Roman" w:cs="Times New Roman"/>
              </w:rPr>
              <w:t>utraty jakichkolwiek ich parametrów i cech użytkowych (korespondencja seryjna, wielokolumnowe arkusze kalkulacyjne zawierające makra i formularze, itp.) bez potrzeby stosowania dodatkowych narzędzi konwertujących,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wydruk musi wyglądać identycznie bez konieczności dodatkowej jego edycji, wszystkie funkcje oraz makra muszą działać poprawnie a ich wynik musi być identyczny jak w przypadku MS Office 20</w:t>
            </w:r>
            <w:r>
              <w:rPr>
                <w:rFonts w:ascii="Times New Roman" w:hAnsi="Times New Roman" w:cs="Times New Roman"/>
              </w:rPr>
              <w:t>21</w:t>
            </w:r>
            <w:r w:rsidRPr="00836DAF">
              <w:rPr>
                <w:rFonts w:ascii="Times New Roman" w:hAnsi="Times New Roman" w:cs="Times New Roman"/>
              </w:rPr>
              <w:t xml:space="preserve"> PL bez konieczności dodatkowej edycji dokumentu,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pełna wersja produktu, oprogramowanie nie może posiadać ograniczeń czasowych oraz funkcjonalnych (bezterminowa licencja na użytkowanie),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oprogramowanie powinno być w wersji oficjalnej, niedopuszczalne jest dostarczenie w wersji typu </w:t>
            </w:r>
            <w:proofErr w:type="spellStart"/>
            <w:r w:rsidRPr="00836DAF">
              <w:rPr>
                <w:rFonts w:ascii="Times New Roman" w:hAnsi="Times New Roman" w:cs="Times New Roman"/>
              </w:rPr>
              <w:t>alpha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, beta, </w:t>
            </w:r>
            <w:proofErr w:type="spellStart"/>
            <w:r w:rsidRPr="00836DAF">
              <w:rPr>
                <w:rFonts w:ascii="Times New Roman" w:hAnsi="Times New Roman" w:cs="Times New Roman"/>
              </w:rPr>
              <w:t>Community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Preview (CP) lub innej,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która zabrania używania oprogramowania przez urząd administracji publicznej,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licencja – bezterminowa, musi umożliwiać bezpłatną aktualizację produktu </w:t>
            </w:r>
            <w:r w:rsidRPr="00836DAF">
              <w:rPr>
                <w:rFonts w:ascii="Times New Roman" w:hAnsi="Times New Roman" w:cs="Times New Roman"/>
              </w:rPr>
              <w:lastRenderedPageBreak/>
              <w:t>w całym okresie wsparcia technicznego i pozostawania w ofercie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rynkowej, Edytor tekstów musi umożliwiać: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edycję i formatowanie tekstu w języku polskim wraz z obsługą języka polskiego w zakresie sprawdzania pisowni i poprawności gramatycznej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oraz funkcjonalnością słownika wyrazów bliskoznacznych i autokorekty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oraz formatowanie tabel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oraz formatowanie obiektów graficznych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wykresów i tabel z arkusza kalkulacyjnego (wliczając tabele przestawne)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numerowanie rozdziałów, punktów, akapitów, tabel 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rysunków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tworzenie spisów treści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formatowanie nagłówków i stopek stron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sprawdzanie pisowni w języku polskim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śledzenie i porównywanie zmian wprowadzonych przez użytkowników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nagrywanie, tworzenie i edycję makr automatyzujących wykonywanie czynności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określenie układu strony (pionowa/pozioma)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wydruk dokumentów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automatyczne wypisywanie </w:t>
            </w:r>
            <w:proofErr w:type="spellStart"/>
            <w:r w:rsidRPr="00836DAF">
              <w:rPr>
                <w:rFonts w:ascii="Times New Roman" w:hAnsi="Times New Roman" w:cs="Times New Roman"/>
              </w:rPr>
              <w:t>hyperlinków</w:t>
            </w:r>
            <w:proofErr w:type="spellEnd"/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wykonywanie korespondencji seryjnej bazując na danych adresowych pochodzących z arkusza kalkulacyjnego i z narzędzia do zarządzania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informacją prywatną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pracę na dokumentach utworzonych przy pomocy Microsoft Word 2010, 2013, 2016, 2019, 2021 z zapewnieniem bezproblemowej konwersji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wszystkich elementów i atrybutów dokumentu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zabezpieczenie dokumentów hasłem przed odczytem oraz przed wprowadzaniem modyfikacji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</w:t>
            </w:r>
            <w:r w:rsidRPr="00836DAF">
              <w:rPr>
                <w:rFonts w:ascii="Times New Roman" w:hAnsi="Times New Roman" w:cs="Times New Roman"/>
              </w:rPr>
              <w:lastRenderedPageBreak/>
              <w:t>prawem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(kontrolki) umożliwiających podpisanie podpisem elektronicznym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pliku z zapisanym dokumentem przy pomocy certyfikatu kwalifikowanego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zgodnie z wymaganiami obowiązującego w Polsce prawa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umożliwiających wykorzystanie go, jako środowiska udostępniającego formularze i pozwalające zapisać plik wynikowy 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zgodzie z Rozporządzeniem o Aktach Normatywnych i Prawnych.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Arkusz kalkulacyjny musi umożliwiać: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tabelarycznych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wykresów liniowych (wraz linią trendu), słupkowych, kołowych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arkuszy kalkulacyjnych zawierających teksty, dane liczbowe oraz formuły przeprowadzające operacje matematyczne, logiczne, tekstowe, statystyczne oraz operacje na danych finansowych i na miarach czasu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z zewnętrznych źródeł danych (inne arkusze kalkulacyjne, bazy danych zgodne z ODBC, pliki tekstowe, pliki XML,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DAF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836DAF">
              <w:rPr>
                <w:rFonts w:ascii="Times New Roman" w:hAnsi="Times New Roman" w:cs="Times New Roman"/>
              </w:rPr>
              <w:t xml:space="preserve"> )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tabeli przestawnych umożliwiających dynamiczną zmianę wymiarów oraz wykresów bazujących na danych z tabeli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przestawnych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wyszukiwanie i zamianę danych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wykonywanie analiz danych przy użyciu formatowania warunkowego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nazywanie komórek arkusza i odwoływanie się w formułach po takiej nazwie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nagrywanie, tworzenie i edycję makr automatyzujących wykonywanie czynności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formatowanie czasu, daty i wartości finansowych zgodnie z polskim formatem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zapis wielu arkuszy kalkulacyjnych w jednym pliku.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zachowanie pełnej zgodności z formatami plików utworzonych za pomocą oprogramowania Microsoft Excel 2010, 2013, 2016, 2019, 2021 z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uwzględnieniem poprawnej realizacji użytych w nich funkcji specjalnych i </w:t>
            </w:r>
            <w:r w:rsidRPr="00836DAF">
              <w:rPr>
                <w:rFonts w:ascii="Times New Roman" w:hAnsi="Times New Roman" w:cs="Times New Roman"/>
              </w:rPr>
              <w:lastRenderedPageBreak/>
              <w:t>makropoleceń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zabezpieczenie dokumentów hasłem przed odczytem oraz przed wprowadzaniem modyfikacji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Narzędzie do przygotowywania i prowadzenia prezentacji musi umożliwiać: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przygotowywanie prezentacji multimedialnych, które będą prezentowanie przy użyciu projektora multimedialnego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drukowanie w formacie umożliwiającym robienie notatek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zapisanie jako prezentacja tylko do odczytu.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 narracji i dołączanie jej do prezentacji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opatrywanie slajdów notatkami dla prezentera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umieszczanie i formatowanie tekstów, obiektów graficznych, tabel, nagrań dźwiękowych i wideo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umieszczanie tabel i wykresów pochodzących z arkusza kalkulacyjnego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odświeżenie wykresu znajdującego się w prezentacji po zmianie danych w źródłowym arkuszu kalkulacyjnym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możliwość tworzenia animacji obiektów i całych slajdów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prowadzenie prezentacji w trybie prezentera, gdzie slajdy są widoczne na jednym monitorze lub projektorze, a na drugim widoczne są slajdy i notatki prezentera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pełna zgodność z formatami plików utworzonych za pomocą oprogramowania MS PowerPoint 2010, 2013, 2016, 2019, 2021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Narzędzie do zarządzania informacją prywatną (pocztą elektroniczną,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kalendarzem, kontaktami i zadaniami) musi umożliwiać: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pobieranie i wysyłanie poczty elektronicznej z serwera pocztowego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filtrowanie niechcianej poczty elektronicznej (SPAM) oraz określanie listy zablokowanych i bezpiecznych nadawców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katalogów, pozwalających katalogować pocztę elektroniczną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grupowanie poczty o tym samym tytule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reguł przenoszących automatycznie nową pocztę elektroniczną do określonych katalogów bazując na słowach zawartych w tytule, adresie nadawcy i odbiorcy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oflagowanie poczty elektronicznej z określeniem terminu przypomnienia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kalendarzem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udostępnianie kalendarza innym użytkownikom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listą zadań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zlecanie zadań innym użytkownikom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listą kontaktów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możliwość przesyłania kontaktów innym użytkowników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36F6" w:rsidRDefault="007836F6"/>
    <w:p w:rsidR="007836F6" w:rsidRDefault="007836F6"/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418"/>
      </w:tblGrid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2"/>
              <w:widowControl/>
              <w:spacing w:line="360" w:lineRule="auto"/>
              <w:ind w:left="388" w:hanging="388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:rsidR="007836F6" w:rsidRPr="00836DAF" w:rsidRDefault="007836F6" w:rsidP="00900CD9">
            <w:pPr>
              <w:pStyle w:val="Style2"/>
              <w:widowControl/>
              <w:spacing w:line="360" w:lineRule="auto"/>
              <w:ind w:left="388" w:hanging="388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TAK?NIE</w:t>
            </w:r>
          </w:p>
        </w:tc>
      </w:tr>
      <w:tr w:rsidR="007836F6" w:rsidRPr="00836DAF" w:rsidTr="00900C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Typ: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7836F6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</w:rPr>
            </w:pPr>
            <w:bookmarkStart w:id="0" w:name="_GoBack"/>
            <w:bookmarkEnd w:id="0"/>
            <w:r w:rsidRPr="007836F6">
              <w:rPr>
                <w:rStyle w:val="FontStyle22"/>
                <w:rFonts w:ascii="Times New Roman" w:hAnsi="Times New Roman" w:cs="Times New Roman"/>
                <w:b/>
                <w:sz w:val="28"/>
              </w:rPr>
              <w:t>Monitor LED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ind w:left="388" w:hanging="388"/>
              <w:jc w:val="both"/>
              <w:rPr>
                <w:rStyle w:val="FontStyle22"/>
                <w:rFonts w:ascii="Times New Roman" w:hAnsi="Times New Roman" w:cs="Times New Roman"/>
              </w:rPr>
            </w:pPr>
          </w:p>
        </w:tc>
      </w:tr>
      <w:tr w:rsidR="007836F6" w:rsidRPr="00836DAF" w:rsidTr="00900CD9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6F6" w:rsidRPr="00836DAF" w:rsidRDefault="007836F6" w:rsidP="00900CD9">
            <w:pPr>
              <w:pStyle w:val="Style5"/>
              <w:widowControl/>
              <w:spacing w:line="360" w:lineRule="auto"/>
              <w:ind w:left="388" w:hanging="388"/>
              <w:rPr>
                <w:rStyle w:val="FontStyle22"/>
                <w:rFonts w:ascii="Times New Roman" w:hAnsi="Times New Roman" w:cs="Times New Roman"/>
                <w:b/>
                <w:bCs/>
              </w:rPr>
            </w:pPr>
            <w:r w:rsidRPr="00836DAF">
              <w:rPr>
                <w:rStyle w:val="FontStyle22"/>
                <w:rFonts w:ascii="Times New Roman" w:hAnsi="Times New Roman" w:cs="Times New Roman"/>
              </w:rPr>
              <w:t>Model i producent…………………………………………………………………………………</w:t>
            </w:r>
          </w:p>
        </w:tc>
      </w:tr>
      <w:tr w:rsidR="007836F6" w:rsidRPr="00836DAF" w:rsidTr="00900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709" w:type="dxa"/>
            <w:vAlign w:val="center"/>
          </w:tcPr>
          <w:p w:rsidR="007836F6" w:rsidRPr="00836DAF" w:rsidRDefault="007836F6" w:rsidP="00900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71" w:type="dxa"/>
            <w:vAlign w:val="center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Monitor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matryca 31.5 cala VA, rozdzielczość 3840x2160 (4K UHD)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czas reakcji matrycy max 5ms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kontrast dynamiczny – 30 000 000:1 (DCR)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wielkość plamki 0,181 mm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dostępne złącza: 2x HDMI,  1xDP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kąty widzenia za poziomie minimum 178/178 stopni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wbudowane głośniki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jasność ekranu minimum 300 cd/m2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możliwość pochylenia ekranu w zakresie -5</w:t>
            </w:r>
            <w:r w:rsidRPr="00836D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o 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Pr="00836D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o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odświeżanie ekranu minimum 60Hz dla 4K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funkcja </w:t>
            </w:r>
            <w:proofErr w:type="spellStart"/>
            <w:r w:rsidRPr="00836DAF">
              <w:rPr>
                <w:rFonts w:ascii="Times New Roman" w:hAnsi="Times New Roman" w:cs="Times New Roman"/>
                <w:color w:val="000000" w:themeColor="text1"/>
              </w:rPr>
              <w:t>Flicker-Free</w:t>
            </w:r>
            <w:proofErr w:type="spellEnd"/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oraz filtr niebieskiego światła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836DAF">
              <w:rPr>
                <w:rFonts w:ascii="Times New Roman" w:hAnsi="Times New Roman" w:cs="Times New Roman"/>
                <w:color w:val="000000" w:themeColor="text1"/>
              </w:rPr>
              <w:t>dostepny</w:t>
            </w:r>
            <w:proofErr w:type="spellEnd"/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standard VESA 100x100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zużycie energii - &lt;0,3W (wyłączony), &lt;0,5W (</w:t>
            </w:r>
            <w:proofErr w:type="spellStart"/>
            <w:r w:rsidRPr="00836DAF">
              <w:rPr>
                <w:rFonts w:ascii="Times New Roman" w:hAnsi="Times New Roman" w:cs="Times New Roman"/>
                <w:color w:val="000000" w:themeColor="text1"/>
              </w:rPr>
              <w:t>standby</w:t>
            </w:r>
            <w:proofErr w:type="spellEnd"/>
            <w:r w:rsidRPr="00836DA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monitor oznaczony logiem producenta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dołączony w zestawie kabel HDMI, kabel zasilający </w:t>
            </w:r>
            <w:r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zasilacz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gwarancja 24 miesiące – w przypadku usterki zawsze wymiana monitora na nowy na miejscu u klienta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gwarancja musi być realizowana przez producenta lub autoryzowanego serwis-partnera producenta.</w:t>
            </w:r>
          </w:p>
          <w:p w:rsidR="007836F6" w:rsidRPr="00836DAF" w:rsidRDefault="007836F6" w:rsidP="00900CD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 możliwość sprawdzenia okresu gwarancji na stronie producenta po podaniu numeru seryjnego sprzętu.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możliwość wydłużenia gwarancji do 5 lat w trakcie trwania okresu gwarancji</w:t>
            </w:r>
          </w:p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836F6" w:rsidRPr="00836DAF" w:rsidRDefault="007836F6" w:rsidP="00900CD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836F6" w:rsidRDefault="007836F6"/>
    <w:sectPr w:rsidR="0078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6"/>
    <w:rsid w:val="005E5A6B"/>
    <w:rsid w:val="007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7F05-35E0-46DF-9372-30817AA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nika"/>
    <w:qFormat/>
    <w:rsid w:val="00783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7836F6"/>
  </w:style>
  <w:style w:type="paragraph" w:customStyle="1" w:styleId="Style5">
    <w:name w:val="Style5"/>
    <w:basedOn w:val="Normalny"/>
    <w:uiPriority w:val="99"/>
    <w:rsid w:val="007836F6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7836F6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7836F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836F6"/>
    <w:rPr>
      <w:rFonts w:ascii="Calibri" w:hAnsi="Calibri" w:cs="Calibr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36F6"/>
    <w:rPr>
      <w:color w:val="0563C1" w:themeColor="hyperlink"/>
      <w:u w:val="single"/>
    </w:rPr>
  </w:style>
  <w:style w:type="paragraph" w:customStyle="1" w:styleId="Default">
    <w:name w:val="Default"/>
    <w:rsid w:val="00783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eocardbenchmark.net/" TargetMode="External"/><Relationship Id="rId5" Type="http://schemas.openxmlformats.org/officeDocument/2006/relationships/hyperlink" Target="https://www.cpubenchmark.net" TargetMode="External"/><Relationship Id="rId4" Type="http://schemas.openxmlformats.org/officeDocument/2006/relationships/hyperlink" Target="https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</cp:revision>
  <dcterms:created xsi:type="dcterms:W3CDTF">2024-01-02T12:31:00Z</dcterms:created>
  <dcterms:modified xsi:type="dcterms:W3CDTF">2024-01-02T12:38:00Z</dcterms:modified>
</cp:coreProperties>
</file>