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A8A5" w14:textId="4575C65D" w:rsidR="00081169" w:rsidRPr="00160508" w:rsidRDefault="000147AA" w:rsidP="000147AA">
      <w:pPr>
        <w:jc w:val="right"/>
      </w:pPr>
      <w:r w:rsidRPr="00160508">
        <w:t xml:space="preserve">Świnoujście, </w:t>
      </w:r>
      <w:r w:rsidR="0031318D">
        <w:t>16</w:t>
      </w:r>
      <w:r w:rsidRPr="00160508">
        <w:t>.</w:t>
      </w:r>
      <w:r w:rsidR="0031318D">
        <w:t>02</w:t>
      </w:r>
      <w:r w:rsidRPr="00160508">
        <w:t>.202</w:t>
      </w:r>
      <w:r w:rsidR="0031318D">
        <w:t>3</w:t>
      </w:r>
      <w:r w:rsidRPr="00160508">
        <w:t>r.</w:t>
      </w:r>
    </w:p>
    <w:p w14:paraId="7970070E" w14:textId="6EAB0877" w:rsidR="000147AA" w:rsidRDefault="000147AA" w:rsidP="000147AA"/>
    <w:p w14:paraId="3270B5B7" w14:textId="77777777" w:rsidR="002870F5" w:rsidRPr="00160508" w:rsidRDefault="002870F5" w:rsidP="000147AA"/>
    <w:p w14:paraId="6427D608" w14:textId="77777777" w:rsidR="000147AA" w:rsidRPr="00160508" w:rsidRDefault="000147AA" w:rsidP="000147AA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</w:p>
    <w:p w14:paraId="674ACE44" w14:textId="77777777" w:rsidR="000147AA" w:rsidRPr="00160508" w:rsidRDefault="000147AA" w:rsidP="000147AA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zamówienia</w:t>
      </w:r>
    </w:p>
    <w:p w14:paraId="3BD7ECFB" w14:textId="77777777" w:rsidR="000147AA" w:rsidRPr="00160508" w:rsidRDefault="000147AA" w:rsidP="000147AA">
      <w:pPr>
        <w:spacing w:line="240" w:lineRule="auto"/>
        <w:jc w:val="both"/>
      </w:pPr>
    </w:p>
    <w:p w14:paraId="65AB30B3" w14:textId="77777777" w:rsidR="000147AA" w:rsidRPr="00160508" w:rsidRDefault="000147AA" w:rsidP="000147AA">
      <w:pPr>
        <w:spacing w:line="240" w:lineRule="auto"/>
        <w:jc w:val="both"/>
      </w:pPr>
    </w:p>
    <w:p w14:paraId="737822DC" w14:textId="3051BEFA" w:rsidR="000147AA" w:rsidRPr="00160508" w:rsidRDefault="000147AA" w:rsidP="000147AA">
      <w:pPr>
        <w:spacing w:line="240" w:lineRule="auto"/>
        <w:jc w:val="both"/>
      </w:pPr>
      <w:r w:rsidRPr="00160508">
        <w:t>EA/PW/NI/</w:t>
      </w:r>
      <w:r w:rsidR="000A7586">
        <w:t xml:space="preserve"> </w:t>
      </w:r>
      <w:r w:rsidR="00F75586">
        <w:t>0232</w:t>
      </w:r>
      <w:r w:rsidR="000A7586">
        <w:t xml:space="preserve"> </w:t>
      </w:r>
      <w:r w:rsidRPr="00160508">
        <w:t>/</w:t>
      </w:r>
      <w:r w:rsidR="0031318D">
        <w:t>59</w:t>
      </w:r>
      <w:r w:rsidRPr="00160508">
        <w:t>/202</w:t>
      </w:r>
      <w:r w:rsidR="0031318D">
        <w:t>3</w:t>
      </w:r>
      <w:r w:rsidRPr="00160508">
        <w:t>/KSz</w:t>
      </w:r>
    </w:p>
    <w:p w14:paraId="62DE37F9" w14:textId="77777777" w:rsidR="000147AA" w:rsidRPr="00160508" w:rsidRDefault="000147AA" w:rsidP="000147AA">
      <w:pPr>
        <w:spacing w:line="240" w:lineRule="auto"/>
        <w:jc w:val="both"/>
      </w:pPr>
    </w:p>
    <w:p w14:paraId="16C928C2" w14:textId="77777777" w:rsidR="0031318D" w:rsidRPr="00061E06" w:rsidRDefault="0031318D" w:rsidP="0031318D">
      <w:pPr>
        <w:jc w:val="both"/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Pr="00534C49">
        <w:rPr>
          <w:b/>
          <w:bCs/>
          <w:color w:val="000000"/>
        </w:rPr>
        <w:t>„</w:t>
      </w:r>
      <w:r w:rsidRPr="003535F5">
        <w:rPr>
          <w:b/>
        </w:rPr>
        <w:t>Dostaw</w:t>
      </w:r>
      <w:r>
        <w:rPr>
          <w:b/>
        </w:rPr>
        <w:t xml:space="preserve">a </w:t>
      </w:r>
      <w:r w:rsidRPr="003535F5">
        <w:rPr>
          <w:b/>
        </w:rPr>
        <w:t>polielektrolitu do odwadniania osadu p</w:t>
      </w:r>
      <w:r>
        <w:rPr>
          <w:b/>
        </w:rPr>
        <w:t>rzefermentowanego</w:t>
      </w:r>
      <w:r w:rsidRPr="003535F5">
        <w:rPr>
          <w:b/>
        </w:rPr>
        <w:t xml:space="preserve"> na wirówkach w okresie </w:t>
      </w:r>
      <w:r>
        <w:rPr>
          <w:b/>
        </w:rPr>
        <w:t>12</w:t>
      </w:r>
      <w:r w:rsidRPr="003535F5">
        <w:rPr>
          <w:b/>
        </w:rPr>
        <w:t xml:space="preserve"> miesięcy</w:t>
      </w:r>
      <w:r w:rsidRPr="00160508">
        <w:rPr>
          <w:b/>
          <w:color w:val="000000"/>
        </w:rPr>
        <w:t>”</w:t>
      </w:r>
    </w:p>
    <w:p w14:paraId="28EC0BE7" w14:textId="40EB3FD7" w:rsidR="000147AA" w:rsidRPr="00160508" w:rsidRDefault="000147AA" w:rsidP="000147AA">
      <w:pPr>
        <w:spacing w:line="240" w:lineRule="auto"/>
        <w:jc w:val="both"/>
      </w:pPr>
    </w:p>
    <w:p w14:paraId="4A6A33A3" w14:textId="77777777" w:rsidR="00061E06" w:rsidRDefault="00061E06" w:rsidP="000147AA">
      <w:pPr>
        <w:spacing w:line="240" w:lineRule="auto"/>
        <w:jc w:val="center"/>
        <w:rPr>
          <w:b/>
          <w:bCs/>
        </w:rPr>
      </w:pPr>
    </w:p>
    <w:p w14:paraId="2CB8AA0D" w14:textId="2F3975D5" w:rsidR="000147AA" w:rsidRPr="00160508" w:rsidRDefault="000147AA" w:rsidP="000147AA">
      <w:pPr>
        <w:spacing w:line="240" w:lineRule="auto"/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4CEFEF67" w14:textId="674BC416" w:rsidR="007E55D1" w:rsidRDefault="007E55D1" w:rsidP="007E55D1">
      <w:pPr>
        <w:spacing w:line="240" w:lineRule="auto"/>
        <w:jc w:val="both"/>
        <w:rPr>
          <w:b/>
        </w:rPr>
      </w:pPr>
    </w:p>
    <w:p w14:paraId="60AE71F5" w14:textId="77777777" w:rsidR="00061E06" w:rsidRPr="007E55D1" w:rsidRDefault="00061E06" w:rsidP="007E55D1">
      <w:pPr>
        <w:spacing w:line="240" w:lineRule="auto"/>
        <w:jc w:val="both"/>
        <w:rPr>
          <w:b/>
        </w:rPr>
      </w:pPr>
    </w:p>
    <w:p w14:paraId="24D6B0B7" w14:textId="146F7160" w:rsidR="000147AA" w:rsidRPr="007E55D1" w:rsidRDefault="000147AA" w:rsidP="007E55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55D1">
        <w:rPr>
          <w:rFonts w:ascii="Arial" w:hAnsi="Arial" w:cs="Arial"/>
          <w:color w:val="auto"/>
          <w:sz w:val="22"/>
          <w:szCs w:val="22"/>
        </w:rPr>
        <w:t>W związku z wniesionym</w:t>
      </w:r>
      <w:r w:rsidR="007E55D1" w:rsidRPr="007E55D1">
        <w:rPr>
          <w:rFonts w:ascii="Arial" w:hAnsi="Arial" w:cs="Arial"/>
          <w:color w:val="auto"/>
          <w:sz w:val="22"/>
          <w:szCs w:val="22"/>
        </w:rPr>
        <w:t>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przez Wykonawc</w:t>
      </w:r>
      <w:r w:rsidR="007E55D1" w:rsidRPr="007E55D1">
        <w:rPr>
          <w:rFonts w:ascii="Arial" w:hAnsi="Arial" w:cs="Arial"/>
          <w:color w:val="auto"/>
          <w:sz w:val="22"/>
          <w:szCs w:val="22"/>
        </w:rPr>
        <w:t>ów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pytani</w:t>
      </w:r>
      <w:r w:rsidR="007E55D1" w:rsidRPr="007E55D1">
        <w:rPr>
          <w:rFonts w:ascii="Arial" w:hAnsi="Arial" w:cs="Arial"/>
          <w:color w:val="auto"/>
          <w:sz w:val="22"/>
          <w:szCs w:val="22"/>
        </w:rPr>
        <w:t>ami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 w:rsidR="007E55D1" w:rsidRPr="007E55D1">
        <w:rPr>
          <w:rFonts w:ascii="Arial" w:hAnsi="Arial" w:cs="Arial"/>
          <w:color w:val="auto"/>
          <w:sz w:val="22"/>
          <w:szCs w:val="22"/>
        </w:rPr>
        <w:t>ń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</w:t>
      </w:r>
      <w:r w:rsidR="00061E06">
        <w:rPr>
          <w:rFonts w:ascii="Arial" w:hAnsi="Arial" w:cs="Arial"/>
          <w:color w:val="auto"/>
          <w:sz w:val="22"/>
          <w:szCs w:val="22"/>
        </w:rPr>
        <w:t>oraz</w:t>
      </w:r>
      <w:r w:rsidR="007E55D1" w:rsidRPr="007E55D1">
        <w:rPr>
          <w:rFonts w:ascii="Arial" w:hAnsi="Arial" w:cs="Arial"/>
          <w:color w:val="auto"/>
          <w:sz w:val="22"/>
          <w:szCs w:val="22"/>
        </w:rPr>
        <w:t xml:space="preserve"> </w:t>
      </w:r>
      <w:r w:rsidRPr="007E55D1">
        <w:rPr>
          <w:rFonts w:ascii="Arial" w:hAnsi="Arial" w:cs="Arial"/>
          <w:color w:val="auto"/>
          <w:sz w:val="22"/>
          <w:szCs w:val="22"/>
        </w:rPr>
        <w:t>odpowied</w:t>
      </w:r>
      <w:r w:rsidR="007E55D1" w:rsidRPr="007E55D1">
        <w:rPr>
          <w:rFonts w:ascii="Arial" w:hAnsi="Arial" w:cs="Arial"/>
          <w:color w:val="auto"/>
          <w:sz w:val="22"/>
          <w:szCs w:val="22"/>
        </w:rPr>
        <w:t>zi</w:t>
      </w:r>
      <w:r w:rsidRPr="007E55D1">
        <w:rPr>
          <w:rFonts w:ascii="Arial" w:hAnsi="Arial" w:cs="Arial"/>
          <w:color w:val="auto"/>
          <w:sz w:val="22"/>
          <w:szCs w:val="22"/>
        </w:rPr>
        <w:t>:</w:t>
      </w:r>
    </w:p>
    <w:p w14:paraId="5B4632B9" w14:textId="6B7BAB24" w:rsidR="000147AA" w:rsidRPr="007E55D1" w:rsidRDefault="000147AA" w:rsidP="007E55D1">
      <w:pPr>
        <w:jc w:val="both"/>
        <w:rPr>
          <w:u w:val="single"/>
        </w:rPr>
      </w:pPr>
    </w:p>
    <w:p w14:paraId="2FDFE54D" w14:textId="1C3D70A8" w:rsidR="000147AA" w:rsidRPr="00061E06" w:rsidRDefault="000147AA" w:rsidP="007E55D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061E06">
        <w:rPr>
          <w:b/>
          <w:bCs/>
          <w:u w:val="single"/>
        </w:rPr>
        <w:t>Pytanie nr 1</w:t>
      </w:r>
      <w:r w:rsidRPr="00061E06">
        <w:rPr>
          <w:b/>
          <w:bCs/>
        </w:rPr>
        <w:t xml:space="preserve"> </w:t>
      </w:r>
    </w:p>
    <w:p w14:paraId="01BA1EE6" w14:textId="490261C5" w:rsidR="00E75CA7" w:rsidRPr="007E55D1" w:rsidRDefault="0031318D" w:rsidP="007E55D1">
      <w:pPr>
        <w:autoSpaceDE w:val="0"/>
        <w:autoSpaceDN w:val="0"/>
        <w:adjustRightInd w:val="0"/>
        <w:spacing w:line="240" w:lineRule="auto"/>
        <w:jc w:val="both"/>
      </w:pPr>
      <w:r>
        <w:t>Prosimy o informacje czy możliwa jest optymalizacja pracy wirówki poprzez regulację różnicy prędkości obrotowej między ślimakiem a bębnem w okresie poprzedzającym pobór próbek.</w:t>
      </w:r>
      <w:r>
        <w:br/>
      </w:r>
    </w:p>
    <w:p w14:paraId="56C5283A" w14:textId="0BA7012E" w:rsidR="007E55D1" w:rsidRPr="00061E06" w:rsidRDefault="007E55D1" w:rsidP="007E55D1">
      <w:pPr>
        <w:autoSpaceDE w:val="0"/>
        <w:autoSpaceDN w:val="0"/>
        <w:adjustRightInd w:val="0"/>
        <w:spacing w:line="240" w:lineRule="auto"/>
        <w:jc w:val="both"/>
        <w:rPr>
          <w:b/>
          <w:bCs/>
          <w:u w:val="single"/>
        </w:rPr>
      </w:pPr>
      <w:r w:rsidRPr="00061E06">
        <w:rPr>
          <w:b/>
          <w:bCs/>
          <w:u w:val="single"/>
        </w:rPr>
        <w:t>Pytanie nr 2</w:t>
      </w:r>
    </w:p>
    <w:p w14:paraId="68925C30" w14:textId="77777777" w:rsidR="0031318D" w:rsidRPr="00061E06" w:rsidRDefault="0031318D" w:rsidP="0031318D">
      <w:pPr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>
        <w:t xml:space="preserve">Prosimy o określenie aktualnego algorytmu pracy-sterowania wirówki: </w:t>
      </w:r>
      <w:r>
        <w:br/>
        <w:t>-czy zadane są jakieś wartości pożądane</w:t>
      </w:r>
      <w:r>
        <w:br/>
        <w:t>-czy zadane są jakieś wartości progowe</w:t>
      </w:r>
      <w:r>
        <w:br/>
        <w:t>-czy i jakie wartości są możliwe do regulacji-optymalizacji (powyższe oczywiście nie dotyczy ilości nadawy i polimeru).</w:t>
      </w:r>
    </w:p>
    <w:p w14:paraId="35C13590" w14:textId="77777777" w:rsidR="00E75CA7" w:rsidRDefault="00E75CA7" w:rsidP="007E55D1">
      <w:pPr>
        <w:autoSpaceDE w:val="0"/>
        <w:autoSpaceDN w:val="0"/>
        <w:adjustRightInd w:val="0"/>
        <w:spacing w:line="240" w:lineRule="auto"/>
        <w:jc w:val="both"/>
      </w:pPr>
    </w:p>
    <w:p w14:paraId="00A9B9D3" w14:textId="53C80510" w:rsidR="002C0F81" w:rsidRPr="00061E06" w:rsidRDefault="002C0F81" w:rsidP="002C0F81">
      <w:pPr>
        <w:autoSpaceDE w:val="0"/>
        <w:autoSpaceDN w:val="0"/>
        <w:adjustRightInd w:val="0"/>
        <w:spacing w:line="240" w:lineRule="auto"/>
        <w:jc w:val="both"/>
        <w:rPr>
          <w:b/>
          <w:bCs/>
          <w:u w:val="single"/>
        </w:rPr>
      </w:pPr>
      <w:r w:rsidRPr="00061E06">
        <w:rPr>
          <w:b/>
          <w:bCs/>
          <w:u w:val="single"/>
        </w:rPr>
        <w:t>Odpowiedź</w:t>
      </w:r>
      <w:r>
        <w:rPr>
          <w:b/>
          <w:bCs/>
          <w:u w:val="single"/>
        </w:rPr>
        <w:t xml:space="preserve"> na pytanie nr 1 oraz 2</w:t>
      </w:r>
      <w:r w:rsidRPr="00061E06">
        <w:rPr>
          <w:b/>
          <w:bCs/>
          <w:u w:val="single"/>
        </w:rPr>
        <w:t>:</w:t>
      </w:r>
    </w:p>
    <w:p w14:paraId="0A4A907F" w14:textId="77394B35" w:rsidR="002C0F81" w:rsidRPr="0031318D" w:rsidRDefault="002C0F81" w:rsidP="002C0F81">
      <w:pPr>
        <w:jc w:val="both"/>
      </w:pPr>
      <w:r w:rsidRPr="0031318D">
        <w:t xml:space="preserve">Zamawiający nie ma możliwości zmiany </w:t>
      </w:r>
      <w:r>
        <w:t xml:space="preserve">różnicy obrotów </w:t>
      </w:r>
      <w:r w:rsidRPr="0031318D">
        <w:t>w okresie poprzedzającym pobór próbek. Charakterystyka wiążąca różnicę prędkości bębna i</w:t>
      </w:r>
      <w:r>
        <w:t> </w:t>
      </w:r>
      <w:r w:rsidRPr="0031318D">
        <w:t>ślimaka z obciążeniem wirówki jest określona przez Producenta w jej programie pracy. Jedynym parametrem mającym wpływ na różnicę obrotów jest obciążenie wirówki.</w:t>
      </w:r>
    </w:p>
    <w:p w14:paraId="69961E7E" w14:textId="77777777" w:rsidR="002C0F81" w:rsidRDefault="002C0F81" w:rsidP="002C0F81">
      <w:pPr>
        <w:jc w:val="both"/>
        <w:rPr>
          <w:color w:val="1F497D"/>
        </w:rPr>
      </w:pPr>
    </w:p>
    <w:p w14:paraId="3F1CC29E" w14:textId="77777777" w:rsidR="002C0F81" w:rsidRPr="00E75CA7" w:rsidRDefault="002C0F81" w:rsidP="002C0F81"/>
    <w:p w14:paraId="1F9CCEF1" w14:textId="5DBBBF60" w:rsidR="0031318D" w:rsidRDefault="0031318D" w:rsidP="00E75CA7">
      <w:pPr>
        <w:autoSpaceDE w:val="0"/>
        <w:autoSpaceDN w:val="0"/>
        <w:adjustRightInd w:val="0"/>
        <w:spacing w:line="240" w:lineRule="auto"/>
        <w:jc w:val="both"/>
        <w:rPr>
          <w:b/>
          <w:bCs/>
          <w:u w:val="single"/>
        </w:rPr>
      </w:pPr>
    </w:p>
    <w:p w14:paraId="06A9BF30" w14:textId="39184AD6" w:rsidR="0031318D" w:rsidRDefault="0031318D" w:rsidP="00E75CA7">
      <w:pPr>
        <w:autoSpaceDE w:val="0"/>
        <w:autoSpaceDN w:val="0"/>
        <w:adjustRightInd w:val="0"/>
        <w:spacing w:line="240" w:lineRule="auto"/>
        <w:jc w:val="both"/>
        <w:rPr>
          <w:b/>
          <w:bCs/>
          <w:u w:val="single"/>
        </w:rPr>
      </w:pPr>
    </w:p>
    <w:sectPr w:rsidR="0031318D" w:rsidSect="0036143E">
      <w:headerReference w:type="default" r:id="rId8"/>
      <w:footerReference w:type="default" r:id="rId9"/>
      <w:pgSz w:w="11906" w:h="16838" w:code="9"/>
      <w:pgMar w:top="936" w:right="1418" w:bottom="851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9C4D" w14:textId="77777777" w:rsidR="000147AA" w:rsidRDefault="000147AA" w:rsidP="000147AA">
      <w:pPr>
        <w:spacing w:line="240" w:lineRule="auto"/>
      </w:pPr>
      <w:r>
        <w:separator/>
      </w:r>
    </w:p>
  </w:endnote>
  <w:endnote w:type="continuationSeparator" w:id="0">
    <w:p w14:paraId="26C0980D" w14:textId="77777777" w:rsidR="000147AA" w:rsidRDefault="000147AA" w:rsidP="00014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4C99" w14:textId="662CB98D" w:rsidR="000147AA" w:rsidRPr="0031318D" w:rsidRDefault="0031318D" w:rsidP="0031318D">
    <w:pPr>
      <w:pStyle w:val="Stopka"/>
      <w:rPr>
        <w:color w:val="808080"/>
        <w:sz w:val="14"/>
        <w:szCs w:val="14"/>
      </w:rPr>
    </w:pPr>
    <w:r w:rsidRPr="00405D6A">
      <w:rPr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DFE19D" wp14:editId="66DF18DA">
              <wp:simplePos x="0" y="0"/>
              <wp:positionH relativeFrom="column">
                <wp:posOffset>-900430</wp:posOffset>
              </wp:positionH>
              <wp:positionV relativeFrom="paragraph">
                <wp:posOffset>-635</wp:posOffset>
              </wp:positionV>
              <wp:extent cx="7561580" cy="8255"/>
              <wp:effectExtent l="0" t="0" r="20320" b="2984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158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822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0.9pt;margin-top:-.05pt;width:595.4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"/>
          </w:pict>
        </mc:Fallback>
      </mc:AlternateContent>
    </w:r>
    <w:r w:rsidRPr="00405D6A">
      <w:rPr>
        <w:color w:val="808080"/>
        <w:sz w:val="14"/>
        <w:szCs w:val="14"/>
      </w:rPr>
      <w:t xml:space="preserve">Znak sprawy: 40/2022/KSz    Dostawa polielektrolitu do odwadniania osadu przefermentowanego na wirówkach w okresie </w:t>
    </w:r>
    <w:r>
      <w:rPr>
        <w:color w:val="808080"/>
        <w:sz w:val="14"/>
        <w:szCs w:val="14"/>
      </w:rPr>
      <w:t>12</w:t>
    </w:r>
    <w:r w:rsidRPr="00405D6A">
      <w:rPr>
        <w:color w:val="808080"/>
        <w:sz w:val="14"/>
        <w:szCs w:val="14"/>
      </w:rPr>
      <w:t xml:space="preserve"> miesięcy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1762" w14:textId="77777777" w:rsidR="000147AA" w:rsidRDefault="000147AA" w:rsidP="000147AA">
      <w:pPr>
        <w:spacing w:line="240" w:lineRule="auto"/>
      </w:pPr>
      <w:r>
        <w:separator/>
      </w:r>
    </w:p>
  </w:footnote>
  <w:footnote w:type="continuationSeparator" w:id="0">
    <w:p w14:paraId="6A752160" w14:textId="77777777" w:rsidR="000147AA" w:rsidRDefault="000147AA" w:rsidP="00014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3B18" w14:textId="77777777" w:rsidR="000147AA" w:rsidRPr="00AE6EB4" w:rsidRDefault="000147AA" w:rsidP="000147AA">
    <w:pPr>
      <w:pStyle w:val="Nagwek"/>
      <w:jc w:val="center"/>
      <w:rPr>
        <w:b/>
        <w:sz w:val="18"/>
        <w:szCs w:val="18"/>
      </w:rPr>
    </w:pPr>
    <w:r w:rsidRPr="00AE6EB4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A2E47D8" wp14:editId="0C8728E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b/>
        <w:sz w:val="18"/>
        <w:szCs w:val="18"/>
      </w:rPr>
      <w:t>Zakład Wodociągów i Kanalizacji Sp. z o.o.</w:t>
    </w:r>
  </w:p>
  <w:p w14:paraId="3363066C" w14:textId="77777777" w:rsidR="000147AA" w:rsidRPr="00AE6EB4" w:rsidRDefault="000147AA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72-600 Świnoujście, ul. Kołłątaja 4</w:t>
    </w:r>
  </w:p>
  <w:p w14:paraId="78FA3D11" w14:textId="77777777" w:rsidR="000147AA" w:rsidRPr="00AE6EB4" w:rsidRDefault="000147AA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tel. (91) 321 45 31  fax. (91) 321 47 82</w:t>
    </w:r>
  </w:p>
  <w:p w14:paraId="33059B3B" w14:textId="77777777" w:rsidR="000147AA" w:rsidRPr="00AE6EB4" w:rsidRDefault="000147AA" w:rsidP="000147AA">
    <w:pPr>
      <w:pStyle w:val="Nagwek"/>
      <w:jc w:val="center"/>
      <w:rPr>
        <w:sz w:val="18"/>
        <w:szCs w:val="18"/>
      </w:rPr>
    </w:pPr>
  </w:p>
  <w:p w14:paraId="7920E931" w14:textId="77777777" w:rsidR="000147AA" w:rsidRPr="00AE6EB4" w:rsidRDefault="000147AA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Sąd Rejonowy Szczecin-Centrum w Szczecinie,</w:t>
    </w:r>
  </w:p>
  <w:p w14:paraId="7E9EF6EE" w14:textId="77777777" w:rsidR="000147AA" w:rsidRPr="00AE6EB4" w:rsidRDefault="000147AA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XIII Wydział Gospodarczy Krajowego Rejestru Sądowego nr 0000139551</w:t>
    </w:r>
  </w:p>
  <w:p w14:paraId="7D1C5CDC" w14:textId="049FB981" w:rsidR="000147AA" w:rsidRPr="000147AA" w:rsidRDefault="000147AA" w:rsidP="000147AA">
    <w:pPr>
      <w:pStyle w:val="Nagwek"/>
      <w:jc w:val="center"/>
      <w:rPr>
        <w:b/>
        <w:sz w:val="14"/>
        <w:szCs w:val="14"/>
      </w:rPr>
    </w:pPr>
    <w:r w:rsidRPr="00AE6EB4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9BE73" wp14:editId="1A4C1E0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9B7F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b/>
        <w:sz w:val="14"/>
        <w:szCs w:val="14"/>
      </w:rPr>
      <w:t>NIP: 855-00-24-412</w:t>
    </w:r>
    <w:r w:rsidRPr="00AE6EB4">
      <w:rPr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b/>
        <w:sz w:val="14"/>
        <w:szCs w:val="14"/>
      </w:rPr>
      <w:t>9</w:t>
    </w:r>
    <w:r w:rsidR="0031318D">
      <w:rPr>
        <w:b/>
        <w:sz w:val="14"/>
        <w:szCs w:val="14"/>
      </w:rPr>
      <w:t>9</w:t>
    </w:r>
    <w:r w:rsidRPr="00AE6EB4">
      <w:rPr>
        <w:b/>
        <w:sz w:val="14"/>
        <w:szCs w:val="14"/>
      </w:rPr>
      <w:t> </w:t>
    </w:r>
    <w:r w:rsidR="0031318D">
      <w:rPr>
        <w:b/>
        <w:sz w:val="14"/>
        <w:szCs w:val="14"/>
      </w:rPr>
      <w:t>700</w:t>
    </w:r>
    <w:r w:rsidRPr="00AE6EB4">
      <w:rPr>
        <w:b/>
        <w:sz w:val="14"/>
        <w:szCs w:val="14"/>
      </w:rPr>
      <w:t xml:space="preserve"> </w:t>
    </w:r>
    <w:r w:rsidR="0031318D">
      <w:rPr>
        <w:b/>
        <w:sz w:val="14"/>
        <w:szCs w:val="14"/>
      </w:rPr>
      <w:t>2</w:t>
    </w:r>
    <w:r w:rsidRPr="00AE6EB4">
      <w:rPr>
        <w:b/>
        <w:sz w:val="14"/>
        <w:szCs w:val="14"/>
      </w:rPr>
      <w:t>00,00 z</w:t>
    </w:r>
    <w:r>
      <w:rPr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5C8F"/>
    <w:multiLevelType w:val="hybridMultilevel"/>
    <w:tmpl w:val="C9ECF9AC"/>
    <w:lvl w:ilvl="0" w:tplc="050AD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0919"/>
    <w:multiLevelType w:val="multilevel"/>
    <w:tmpl w:val="C7C0B46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38110690">
    <w:abstractNumId w:val="0"/>
  </w:num>
  <w:num w:numId="2" w16cid:durableId="146310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AA"/>
    <w:rsid w:val="000147AA"/>
    <w:rsid w:val="00055BC4"/>
    <w:rsid w:val="00061E06"/>
    <w:rsid w:val="00081169"/>
    <w:rsid w:val="00096D7D"/>
    <w:rsid w:val="000A7586"/>
    <w:rsid w:val="000E6E2B"/>
    <w:rsid w:val="0011312E"/>
    <w:rsid w:val="00160508"/>
    <w:rsid w:val="00166BBE"/>
    <w:rsid w:val="00174DA6"/>
    <w:rsid w:val="001A25BE"/>
    <w:rsid w:val="001F41EA"/>
    <w:rsid w:val="002870F5"/>
    <w:rsid w:val="002C0F81"/>
    <w:rsid w:val="002E44F2"/>
    <w:rsid w:val="0031318D"/>
    <w:rsid w:val="0036143E"/>
    <w:rsid w:val="00534556"/>
    <w:rsid w:val="006A7419"/>
    <w:rsid w:val="007A059A"/>
    <w:rsid w:val="007E55D1"/>
    <w:rsid w:val="00AA7BB8"/>
    <w:rsid w:val="00B278EC"/>
    <w:rsid w:val="00BE73B2"/>
    <w:rsid w:val="00C36CD9"/>
    <w:rsid w:val="00C440FE"/>
    <w:rsid w:val="00D87B14"/>
    <w:rsid w:val="00E75CA7"/>
    <w:rsid w:val="00F17559"/>
    <w:rsid w:val="00F32628"/>
    <w:rsid w:val="00F7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647E3"/>
  <w15:chartTrackingRefBased/>
  <w15:docId w15:val="{EB1E9378-7EAD-4524-BB8B-CC0EF2C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7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7AA"/>
  </w:style>
  <w:style w:type="paragraph" w:styleId="Stopka">
    <w:name w:val="footer"/>
    <w:basedOn w:val="Normalny"/>
    <w:link w:val="StopkaZnak"/>
    <w:uiPriority w:val="99"/>
    <w:unhideWhenUsed/>
    <w:rsid w:val="000147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7AA"/>
  </w:style>
  <w:style w:type="paragraph" w:customStyle="1" w:styleId="Default">
    <w:name w:val="Default"/>
    <w:rsid w:val="000147A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Preambuła,normalny tekst,Podsis rysunku,Akapit z listą numerowaną,L1,Numerowanie,Normal,BulletC,Obiekt,List Paragraph1,Wyliczanie,Akapit z listą3,Akapit z listą31,Akapit z listą11,Bullets,Kolorowa lista — akcent 11,normalny,Nagłówek_JP"/>
    <w:basedOn w:val="Normalny"/>
    <w:link w:val="AkapitzlistZnak"/>
    <w:uiPriority w:val="34"/>
    <w:qFormat/>
    <w:rsid w:val="000147AA"/>
    <w:pPr>
      <w:spacing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Normal Znak,BulletC Znak,Obiekt Znak,List Paragraph1 Znak,Wyliczanie Znak,Akapit z listą3 Znak,Akapit z listą31 Znak"/>
    <w:link w:val="Akapitzlist"/>
    <w:uiPriority w:val="34"/>
    <w:qFormat/>
    <w:locked/>
    <w:rsid w:val="000147AA"/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F32628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262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78EC"/>
    <w:rPr>
      <w:b/>
      <w:bCs/>
    </w:rPr>
  </w:style>
  <w:style w:type="character" w:customStyle="1" w:styleId="markedcontent">
    <w:name w:val="markedcontent"/>
    <w:basedOn w:val="Domylnaczcionkaakapitu"/>
    <w:rsid w:val="001F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E4C0-10B1-4D56-9697-7E9761EB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2023-02-16T11:05:00Z</cp:lastPrinted>
  <dcterms:created xsi:type="dcterms:W3CDTF">2023-02-16T10:02:00Z</dcterms:created>
  <dcterms:modified xsi:type="dcterms:W3CDTF">2023-02-16T12:13:00Z</dcterms:modified>
</cp:coreProperties>
</file>