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AD" w:rsidRPr="00A05754" w:rsidRDefault="00F335AD" w:rsidP="00F335AD">
      <w:pPr>
        <w:jc w:val="right"/>
        <w:rPr>
          <w:b/>
        </w:rPr>
      </w:pPr>
      <w:r w:rsidRPr="00A05754">
        <w:rPr>
          <w:b/>
        </w:rPr>
        <w:t xml:space="preserve">Załącznik Nr 2 do SWZ </w:t>
      </w:r>
      <w:r w:rsidR="00971CBC">
        <w:rPr>
          <w:b/>
        </w:rPr>
        <w:t xml:space="preserve"> - </w:t>
      </w:r>
      <w:r w:rsidRPr="00A05754">
        <w:rPr>
          <w:b/>
        </w:rPr>
        <w:t>dot. Pakietu nr 1</w:t>
      </w:r>
    </w:p>
    <w:p w:rsidR="00F335AD" w:rsidRDefault="00F335AD" w:rsidP="00F335AD">
      <w:pPr>
        <w:jc w:val="right"/>
        <w:rPr>
          <w:b/>
          <w:u w:val="single"/>
        </w:rPr>
      </w:pPr>
    </w:p>
    <w:p w:rsidR="00F335AD" w:rsidRPr="00F335AD" w:rsidRDefault="00F335AD" w:rsidP="00F335AD">
      <w:pPr>
        <w:jc w:val="center"/>
        <w:rPr>
          <w:b/>
          <w:u w:val="single"/>
        </w:rPr>
      </w:pPr>
      <w:r w:rsidRPr="00F335AD">
        <w:rPr>
          <w:b/>
          <w:u w:val="single"/>
        </w:rPr>
        <w:t>OPIS PRZEDMIOTU ZAMÓWIENIA</w:t>
      </w:r>
      <w:bookmarkStart w:id="0" w:name="_GoBack"/>
      <w:bookmarkEnd w:id="0"/>
    </w:p>
    <w:p w:rsidR="00F335AD" w:rsidRDefault="00F335AD"/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159"/>
        <w:gridCol w:w="2363"/>
        <w:gridCol w:w="7547"/>
      </w:tblGrid>
      <w:tr w:rsidR="00F335AD" w:rsidRPr="00756383" w:rsidTr="00F335AD">
        <w:trPr>
          <w:trHeight w:hRule="exact" w:val="454"/>
          <w:jc w:val="center"/>
        </w:trPr>
        <w:tc>
          <w:tcPr>
            <w:tcW w:w="10069" w:type="dxa"/>
            <w:gridSpan w:val="3"/>
            <w:shd w:val="clear" w:color="auto" w:fill="auto"/>
            <w:vAlign w:val="center"/>
          </w:tcPr>
          <w:p w:rsidR="00F335AD" w:rsidRPr="00756383" w:rsidRDefault="00F335AD" w:rsidP="00B01D75">
            <w:pPr>
              <w:rPr>
                <w:b/>
                <w:bCs/>
                <w:sz w:val="18"/>
                <w:szCs w:val="18"/>
              </w:rPr>
            </w:pPr>
            <w:r w:rsidRPr="00756383">
              <w:rPr>
                <w:rStyle w:val="FontStyle31"/>
                <w:b/>
                <w:bCs/>
                <w:color w:val="auto"/>
                <w:sz w:val="18"/>
                <w:szCs w:val="18"/>
              </w:rPr>
              <w:t xml:space="preserve">OPIS </w:t>
            </w:r>
            <w:r w:rsidRPr="00756383">
              <w:rPr>
                <w:b/>
                <w:bCs/>
                <w:sz w:val="18"/>
                <w:szCs w:val="18"/>
              </w:rPr>
              <w:t xml:space="preserve">SERWERA 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9910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Default="00F335AD" w:rsidP="00B01D75">
            <w:pPr>
              <w:jc w:val="both"/>
              <w:rPr>
                <w:sz w:val="18"/>
                <w:szCs w:val="18"/>
              </w:rPr>
            </w:pPr>
            <w:r w:rsidRPr="00EF7826">
              <w:rPr>
                <w:sz w:val="18"/>
                <w:szCs w:val="18"/>
              </w:rPr>
              <w:t xml:space="preserve">Serwery kopii bezpieczeństwa mają być skonfigurowane tak, aby </w:t>
            </w:r>
            <w:proofErr w:type="spellStart"/>
            <w:r w:rsidRPr="00EF7826">
              <w:rPr>
                <w:sz w:val="18"/>
                <w:szCs w:val="18"/>
              </w:rPr>
              <w:t>odmiejscowić</w:t>
            </w:r>
            <w:proofErr w:type="spellEnd"/>
            <w:r w:rsidRPr="00EF7826">
              <w:rPr>
                <w:sz w:val="18"/>
                <w:szCs w:val="18"/>
              </w:rPr>
              <w:t xml:space="preserve"> kopie bezpieczeństwa. Zamawiający posiada </w:t>
            </w:r>
            <w:r>
              <w:rPr>
                <w:sz w:val="18"/>
                <w:szCs w:val="18"/>
              </w:rPr>
              <w:br/>
            </w:r>
            <w:r w:rsidRPr="00EF7826">
              <w:rPr>
                <w:sz w:val="18"/>
                <w:szCs w:val="18"/>
              </w:rPr>
              <w:t>2 serwerownie połączone ze sobą łączem światłowodowy. Konfiguracja serwerów powinna zapewniać odseparowaniu urządzeń backupu celem zapewnienia mechanizmów weryfikacji poprawności i odtwarzalności kopii i backupu.</w:t>
            </w:r>
            <w:r>
              <w:rPr>
                <w:sz w:val="18"/>
                <w:szCs w:val="18"/>
              </w:rPr>
              <w:t xml:space="preserve"> Zamawiający posiada oprogramowanie backupu firmy </w:t>
            </w:r>
            <w:proofErr w:type="spellStart"/>
            <w:r>
              <w:rPr>
                <w:sz w:val="18"/>
                <w:szCs w:val="18"/>
              </w:rPr>
              <w:t>CommVault</w:t>
            </w:r>
            <w:proofErr w:type="spellEnd"/>
            <w:r>
              <w:rPr>
                <w:sz w:val="18"/>
                <w:szCs w:val="18"/>
              </w:rPr>
              <w:t xml:space="preserve">. Serwery kopii bezpieczeństwa z wykorzystaniem tego oprogramowania powinny być skonfigurowane celem </w:t>
            </w:r>
            <w:r w:rsidRPr="00EF7826">
              <w:rPr>
                <w:sz w:val="18"/>
                <w:szCs w:val="18"/>
              </w:rPr>
              <w:t>utrzymania polityki ciągłości działania.</w:t>
            </w:r>
            <w:r>
              <w:rPr>
                <w:sz w:val="18"/>
                <w:szCs w:val="18"/>
              </w:rPr>
              <w:t xml:space="preserve"> Wykonawca dostarczy wszelkie niezbędne oprogramowanie do zarządzania serwerami kopii bezpieczeństwa, okablowania i licencji umożliwiających wykonywanie zakładanych celów.</w:t>
            </w:r>
          </w:p>
          <w:p w:rsidR="00F335AD" w:rsidRPr="00814C0C" w:rsidRDefault="00F335AD" w:rsidP="00B01D75">
            <w:pPr>
              <w:jc w:val="both"/>
              <w:rPr>
                <w:sz w:val="18"/>
                <w:szCs w:val="18"/>
              </w:rPr>
            </w:pP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tabs>
                <w:tab w:val="left" w:pos="466"/>
              </w:tabs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>Ilość sztuk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jc w:val="both"/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>2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>Obudowa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  <w:u w:color="00B050"/>
              </w:rPr>
              <w:t>Wysokość - maks. 1U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  <w:u w:color="00B050"/>
              </w:rPr>
              <w:t xml:space="preserve">Szerokość - </w:t>
            </w:r>
            <w:proofErr w:type="spellStart"/>
            <w:r w:rsidRPr="00814C0C">
              <w:rPr>
                <w:sz w:val="18"/>
                <w:szCs w:val="18"/>
                <w:u w:color="00B050"/>
              </w:rPr>
              <w:t>Rack</w:t>
            </w:r>
            <w:proofErr w:type="spellEnd"/>
            <w:r w:rsidRPr="00814C0C">
              <w:rPr>
                <w:sz w:val="18"/>
                <w:szCs w:val="18"/>
                <w:u w:color="00B050"/>
              </w:rPr>
              <w:t xml:space="preserve"> 19”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Szyny montażowe wraz z ramieniem do prowadzenia kabli, umożliwiającymi serwisowanie serwera w szafie </w:t>
            </w:r>
            <w:proofErr w:type="spellStart"/>
            <w:r w:rsidRPr="00814C0C">
              <w:rPr>
                <w:sz w:val="18"/>
                <w:szCs w:val="18"/>
              </w:rPr>
              <w:t>rack</w:t>
            </w:r>
            <w:proofErr w:type="spellEnd"/>
            <w:r w:rsidRPr="00814C0C">
              <w:rPr>
                <w:sz w:val="18"/>
                <w:szCs w:val="18"/>
              </w:rPr>
              <w:t xml:space="preserve"> bez wyłączania</w:t>
            </w:r>
          </w:p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Zainstalowania min. (10 dysk</w:t>
            </w: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  <w:lang w:val="es-ES_tradnl"/>
              </w:rPr>
              <w:t>ó</w:t>
            </w: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w 2,5”).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  <w:lang w:val="es-ES_tradnl"/>
              </w:rPr>
              <w:t>Procesor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Architektura x86, maksymalny TDP dla procesora – maksymalnie 165W.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Wymagana ilość rdzeni dla procesora – 8.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Minimalna częstotliwość pracy procesora 2.8GHz.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Procesor powinien obsługiwać pamięć z prędkością 3200MHz .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Minimalna ilość kanałów procesora – 8 . 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 xml:space="preserve">Wynik wydajności procesora zainstalowanego w oferowanym serwerze nie powinien być niższy niż 130 punktów </w:t>
            </w:r>
            <w:proofErr w:type="spellStart"/>
            <w:r w:rsidRPr="00814C0C">
              <w:rPr>
                <w:sz w:val="18"/>
                <w:szCs w:val="18"/>
              </w:rPr>
              <w:t>base</w:t>
            </w:r>
            <w:proofErr w:type="spellEnd"/>
            <w:r w:rsidRPr="00814C0C">
              <w:rPr>
                <w:sz w:val="18"/>
                <w:szCs w:val="18"/>
              </w:rPr>
              <w:t xml:space="preserve"> w teście  </w:t>
            </w:r>
            <w:proofErr w:type="spellStart"/>
            <w:r w:rsidRPr="00814C0C">
              <w:rPr>
                <w:sz w:val="18"/>
                <w:szCs w:val="18"/>
              </w:rPr>
              <w:t>SPECrate</w:t>
            </w:r>
            <w:proofErr w:type="spellEnd"/>
            <w:r w:rsidRPr="00814C0C">
              <w:rPr>
                <w:sz w:val="18"/>
                <w:szCs w:val="18"/>
              </w:rPr>
              <w:t xml:space="preserve"> 2017 </w:t>
            </w:r>
            <w:proofErr w:type="spellStart"/>
            <w:r w:rsidRPr="00814C0C">
              <w:rPr>
                <w:sz w:val="18"/>
                <w:szCs w:val="18"/>
              </w:rPr>
              <w:t>Integer</w:t>
            </w:r>
            <w:proofErr w:type="spellEnd"/>
            <w:r w:rsidRPr="00814C0C">
              <w:rPr>
                <w:sz w:val="18"/>
                <w:szCs w:val="18"/>
              </w:rPr>
              <w:t xml:space="preserve">, opublikowanym przez SPEC.org (www.spec.org) dla konfiguracji dwuprocesorowej. Test przeprowadzony przez producenta serwera musi być zamieszczony na stronie spec.org. 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>Obsługa minimum dwóch procesorów.</w:t>
            </w:r>
          </w:p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sz w:val="18"/>
                <w:szCs w:val="18"/>
              </w:rPr>
              <w:t>Liczba zainstalowanych procesorów-2szt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Płyta główna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  <w:bdr w:val="none" w:sz="0" w:space="0" w:color="auto"/>
              </w:rPr>
              <w:t>Płyta główna dedykowana do pracy w serwerach, wyprodukowana przez producenta serwera z możliwością zainstalowania do dwóch procesorów Intel Xeon wykonujących 64-bitowe instrukcje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Pamięć operacyjna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Zainstalowane minimum 192GB pamięci RAM o częstotliwości 3200MHz. Kości pamięci min. 16GB. Zainstalowana pamięć powinna być sygnowana i zoptymalizowana do użycia przez producenta serwera.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Minimum 32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sloty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na pamięć. Możliwość rozbudowy do  8TB RAM przy użyciu pamięci RDIMM.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Łączna ilość zainstalowanej pamięci RDIMM oraz pamięci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persistent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memory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powinna wynosić minimum 12TB.</w:t>
            </w:r>
          </w:p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Zabezpieczenie pamięci: Memory mirroring, ECC, SDDC, ADDDC  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Procesor Graficzny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4C0C"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Zintegrowana karta graficzna z minimum 16MB pamięci osiągająca rozdzielczość 1920x1200 przy 60 </w:t>
            </w:r>
            <w:proofErr w:type="spellStart"/>
            <w:r w:rsidRPr="00814C0C"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  <w:t>Hz</w:t>
            </w:r>
            <w:proofErr w:type="spellEnd"/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6"/>
              </w:rPr>
            </w:pPr>
            <w:r w:rsidRPr="00814C0C">
              <w:rPr>
                <w:rStyle w:val="None"/>
                <w:sz w:val="18"/>
                <w:szCs w:val="16"/>
              </w:rPr>
              <w:t>Rozbudowa dysków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Serwer musi posiadać możliwość zainstalowania minimum 8 dysków SAS/SATA i 2 dysków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NVMe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. Dostarczone rozwiązanie powinno umożliwiać także zainstalowanie 4 sztuk dysków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NVMe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oraz 6 sztuk dysków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hdd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sas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/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sata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. Wymienione scenariusze rozbudowy systemu dyskowego powinny być możliwe w ramach tych samych modułów front-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plane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back-plane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. Dodatkowo wymaga się, aby serwer posiadał możliwość instalacji dysków SED.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 momencie dostawy serwer powinien posiadać zainstalowane dwa dyski SSD hot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swap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o pojemności minimum 480GB spełniających poniższe wymagania: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TBW minimum 1324TB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trwałość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dwpd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5 lat minimum  1.5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- wydajność dla zapisów losowych minimum 36000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wydajność dla odczytów losowych minimum 85000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Dodatkowo w serwerze powinny być zainstalowane cztery dyski SSD hot-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swap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spełniające poniższe wymagania: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TBW minimum 2628TB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trwałość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dwpd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5 lat minimum  1.5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- wydajność dla zapisów losowych minimum 35000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wydajność dla odczytów losowych minimum 95000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 momencie dostawy na wyposażeniu serwera powinien znajdować się także  jeden dysk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NVMe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spełniający podane parametry: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- pojemność minimum 1.6TB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trwałość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dwpd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5lat minimum 3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- TBW minimum 8700TB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- wydajność dla zapisów losowych minimum 200000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- wydajność dla odczytów losowych minimum 700000 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Wymagana możliwość zainstalowania dwóch dysków  M.2 o pojemności minimum 240GB pracujących w raid1 realizowanym przez dedykowany układ sprzętowy.  Nie dopuszcza się rozwiązania, w którym dyski M.2 zajmują którykolwiek ze slotów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PCIe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wymienionych w sekcji Dodatkowe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sloty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I/O.</w:t>
            </w:r>
          </w:p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Wraz z serwerem powinna być dostarczona dedykowana zewnętrzna półka dyskowa współpracująca w zainstalowanym w serwerze kontrolerem dyskowym opisanym w sekcji Kontroler dyskowy. Półka dyskowa powinna posiadać zainstalowane przynajmniej 11 dysków SAS o pojemności 16TB i powinna pozwalać na jednoczesne podłączenie dwóch serwerów w sposób redundantny. Półka powinna zajmować maksymalnie 2U przestrzeni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rack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. 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Kontroler dyskowy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shd w:val="clear" w:color="auto" w:fill="FFFFFF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 momencie dostawy serwer powinien posiadać zainstalowany kontroler SAS 12Gbs obsługujący następujące poziomy protekcji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raid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: 0/1/10/5/50. Wymaga się, aby kontroler posiadał funkcjonalność kontynuowania procesu odbudowy macierzy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raid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przerwanego na skutek awarii zasilania. </w:t>
            </w:r>
          </w:p>
          <w:p w:rsidR="00F335AD" w:rsidRPr="00814C0C" w:rsidRDefault="00F335AD" w:rsidP="00B01D75">
            <w:pPr>
              <w:pStyle w:val="Body"/>
              <w:shd w:val="clear" w:color="auto" w:fill="FFFFFF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Zmiana pojemności zdefiniowanych dysków wirtualnych powinna odbywać się online. Wymaga się także możliwości zmiany typu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raid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grupy dyskowej w trybie online.</w:t>
            </w:r>
          </w:p>
          <w:p w:rsidR="00F335AD" w:rsidRPr="00814C0C" w:rsidRDefault="00F335AD" w:rsidP="00B01D75">
            <w:pPr>
              <w:pStyle w:val="Body"/>
              <w:shd w:val="clear" w:color="auto" w:fill="FFFFFF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Ponad to w serwerze powinien być zainstalowany kontroler dyskowy dedykowany do obsługi zewnętrznych systemów dyskowych. Kontroler powinien posiadać przynajmniej 4GB cache wykorzystującego pamięć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flash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NAND. Kontroler powinien posiadać funkcjonalność podtrzymania napięcia w przypadku utraty głównego zasilania w technologii niewykorzystującej jakiegokolwiek rozwiązania bateryjnego. Wymagane poziomy protekcji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raid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: 0/1/10/5/50/6/60 . Obsługa do 240 dysków.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Zasilacz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rFonts w:eastAsia="Calibri" w:cs="Calibri"/>
                <w:sz w:val="18"/>
                <w:szCs w:val="18"/>
                <w:u w:color="00B050"/>
              </w:rPr>
            </w:pPr>
            <w:r w:rsidRPr="00814C0C">
              <w:rPr>
                <w:sz w:val="18"/>
                <w:szCs w:val="18"/>
              </w:rPr>
              <w:t>Minimum dwa redundantne zasilacze o mocy minimum 750W z certyfikatem minimum Platinum. Moc pojedynczego zasilacza musi być wystarczająca do zasilenia serwera w oferowanej konfiguracji.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Interfejsy sieciowe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Zainstalowana jedna dwuportowa karty 10/25Gb SFP28, nie zajmująca slotów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PCIe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wymienionych w sekcji Dodatkowe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sloty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I/O. Karta musi być wyposażona we dwie wkładki SFP+ 10Gb. Wymagana funkcjonalność zainstalowanych kart: sprzętowa obsługa protokołów VXLAN, NVGRE, GENEVE, obsługa ruchu sieciowego z podziałem na poszczególne maszyny wirtualne (obsługa do 128 instancji wirtualnych) , NPAR, możliwość realizacji bezpośredniego dostępu do pamięci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RoCE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, 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offload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sumy kontrolnej stosu TCP/IP obsługa ramek Jumbo do 9.6Kb, 802.3ad.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Dodatkowo zainstalowana dwuportowa karta 10/25Gbs SFP+ wyposażona we wkładki SR. Ze względu spójności zarządzania i ewentualnego debugowania, koniecznym jest aby karty wbudowana oraz dodatkowa pochodziły od tego samego dostawcy kart sieciowych i należały do tej samej linii modelowej.</w:t>
            </w:r>
          </w:p>
          <w:p w:rsidR="00F335AD" w:rsidRPr="00814C0C" w:rsidRDefault="00F335AD" w:rsidP="00B01D75">
            <w:pPr>
              <w:pStyle w:val="Body"/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Jeden port RJ-45 o przepustowości 1GbE dedykowany dla karty zarządzającej. 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 xml:space="preserve">Dodatkowe </w:t>
            </w:r>
            <w:proofErr w:type="spellStart"/>
            <w:r w:rsidRPr="00814C0C">
              <w:rPr>
                <w:rStyle w:val="None"/>
                <w:sz w:val="18"/>
                <w:szCs w:val="18"/>
              </w:rPr>
              <w:t>sloty</w:t>
            </w:r>
            <w:proofErr w:type="spellEnd"/>
            <w:r w:rsidRPr="00814C0C">
              <w:rPr>
                <w:rStyle w:val="None"/>
                <w:sz w:val="18"/>
                <w:szCs w:val="18"/>
              </w:rPr>
              <w:t xml:space="preserve"> I/O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Serwer powinien posiadać 3 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sloty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PCIe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 x16 generacji 4.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Dodatkowe porty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F335AD">
            <w:pPr>
              <w:pStyle w:val="Body"/>
              <w:numPr>
                <w:ilvl w:val="0"/>
                <w:numId w:val="2"/>
              </w:numPr>
              <w:shd w:val="clear" w:color="auto" w:fill="FFFFFF"/>
              <w:ind w:left="389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z przodu obudowy: 1x USB 3.1, 1x USB 2.0 (współdzielony z systemem zarządzania), 1x VGA 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2"/>
              </w:numPr>
              <w:shd w:val="clear" w:color="auto" w:fill="FFFFFF"/>
              <w:ind w:left="389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z tyłu obudowy: 3x USB 3.1, 1x VGA Możliwość instalacji portu DB9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2"/>
              </w:numPr>
              <w:shd w:val="clear" w:color="auto" w:fill="FFFFFF"/>
              <w:ind w:left="389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wewnątrz: 1x USB 3.1</w:t>
            </w:r>
          </w:p>
          <w:p w:rsidR="00F335AD" w:rsidRPr="00814C0C" w:rsidRDefault="00F335AD" w:rsidP="00B01D75">
            <w:pPr>
              <w:pStyle w:val="Body"/>
              <w:shd w:val="clear" w:color="auto" w:fill="FFFFFF"/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Chłodzenie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>Wentylatory wspierające wymianę Hot-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Swap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>, zamontowane nadmiarowo minimum N+1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Zarządzanie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Zintegrowany z płytą główną serwera, niezależny od systemu operacyjnego, sprzętowy kontroler zdalnego zarzadzania umożliwiający: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Monitoring stanu systemu (komponenty objęte monitoringiem to przynajmniej: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cpu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, pamięć RAM, dyski, karty PCI, zasilacze, wentylatory,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plyta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glowna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Pozyskanie następujących informacji o serwerze: nazwa, typ i model, numer seryjny, nazwa systemu, wersja UEFI oraz BMC, adres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ip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karty zarządzającej, utylizacja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cpu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>, utylizacja pamięci oraz komponentów I/O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Logowanie zdarzeń systemowych oraz związanych z działaniami użytkownika. Każdy dziennik zdarzeń powinien mieć możliwość zapisu co najmniej 1024 rekordów.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Logowanie zdarzeń związanych z utrzymaniem systemu jak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upgrade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firmware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>, zmiana/instalacja sprzętu. System powinien umożliwiać zapisanie minimum 250 zdarzeń.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Wysyłanie określonych zdarzeń poprzez SMTP oraz SNMPv3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Update systemowego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firmware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Monitoring i możliwość ograniczenia poboru prądu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Zdalne włączanie/wyłączanie/restart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Zapis video zdalnych sesji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Podmontowanie lokalnych mediów z wykorzystaniem Java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client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Przekierowanie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kosnoli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szeregowej przez IPMI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Zrzut ekranu w momencie zawieszenia systemu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Możliwość przejęcia zdalnego ekranu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Możliwość zdalnej instalacji systemu operacyjnego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Alerty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Syslog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Przekierowanie konsoli szeregowej przez SSH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Wyświetlanie danych aktualnych I historycznych dla użycia energii oraz temperatury serwera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Możliwość mapowania obrazów ISO z lokalnego dysku operatora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Możliwość mapowania obrazów ISO przez HTTPS, SFTP, CIFS oraz NFS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Możliwość jednoczesnej pracy do 6 użytkowników przez wirtualną konsolę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wspierane protokoły/interfejsy: IPMI v2.0, SNMP v3, CIM, DCMI v1.5, REST API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Wymaga się możliwości wykorzystania frontowego portu USB do celów serwisowych (komunikacja portu z karta zarządzającą) bez możliwości uzyskania jakiejkolwiek funkcjonalności na poziomie zainstalowanego systemu operacyjnego. Funkcjonalność ta musi być realizowana na poziomie sprzętowym i musi być niezależna od zainstalowanego systemu operacyjnego.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Wraz z serwerem powinno zostać dostarczone dodatkowe oprogramowanie zarządzające umożliwiające: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zarzadzanie infrastruktura serwerów i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storage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bez udziału dedykowanego agenta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lastRenderedPageBreak/>
              <w:t>- przedstawianie graficznej reprezentacji zarządzanych urządzeń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możliwość skalowania do minimum 1000 urządzeń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obsługę szyfrowanej komunikacji z zarządzanymi urządzeniami, wsparcie dla NIST 800-131A oraz FIPS 140-2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wsparcie dla certyfikatów SSL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tzw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self-signed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oraz zewnętrznych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udostępnianie szybkiego podgląd stanu środowiska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udostępnianie podsumowania stanu dla każdego urządzenia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tworzenie alertów przy zmianie stanu urządzenia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monitorowanie oraz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tracking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zużycia energii przez monitorowane urządzenie, możliwość ustalania granicy zużycia energii,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konsola zarzadzania oparta o HTML 5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dostępność konsoli monitorującej na urządzeniach przenośnych ze wsparciem dla systemu Android oraz iOS, aplikacja musi umożliwiać włączenie wyłączenie oraz restart urządzenia, musi również mieć możliwość aktywowania diody lokacyjnej na urządzeniu,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automatyczne wykrywanie dołączanych systemów oraz szczegółowa inwentaryzacja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możliwość podnoszenia wersji oprogramowania dla komponentów zarządzanych serwerów w oparciu o repozytorium lokalne jak i zdalne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dostepne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na stronie producenta oferowanego rozwiązania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 definiowanie polityk zgodności wersji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firmware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komponentów zarządzanych urządzeń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definiowanie roli użytkowników oprogramowania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obsługa REST API oraz Windows PowerShell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obsługa SNMP, SYSLOG, Email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Forwarding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autentykacja użytkowników: centralna (możliwość definiowania wymaganego poziomu skomplikowania danych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autentykacyjnych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) oraz integracja z MS AD oraz obsługa single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sign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on oraz SAML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obsługa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tzw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Forward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Secrecy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w komunikacji z zarządzanymi urządzeniami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przedstawianie historycznych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aktywnosci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użytkowników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-blokowanie możliwości podłączenia innego systemu zarzadzania do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urzadzen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zarządzanych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tworzenie dziennika zdarzeń ukończonych sukcesem lub bledem,  oraz zdarzeń będących w trakcie. Możliwość definiowania filtrów wyświetlanych zdarzeń z dziennika. Możliwość eksportu dziennika zdarzeń do pliku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csv</w:t>
            </w:r>
            <w:proofErr w:type="spellEnd"/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Obsluga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NTP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- przesyłanie alertów do konsoli firm trzecich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tworzenie wzorców konfiguracji zarządzanych urządzeń (definiowanie przez konsole albo kopiowanie konfiguracji z już zaimplementowanych urządzeń) 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instalowanie systemów operacyjnych oraz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wirtualizatorów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Vmware i Hyper-V. Wymagana jest integracja konsoli zarządzania z konsolą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wirtualizatora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tak, aby zarządzanie środowiskiem sprzętowym  mogło odbywać się z konsoli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wirtualizatora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. Wymaga się możliwości instalacji systemu na przynajmniej 20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nodach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jednocześnie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 xml:space="preserve">- możliwość automatycznego tworzenia zgłoszeń w centrum serwisowym producenta dla określonych zdarzeń wraz z </w:t>
            </w:r>
            <w:proofErr w:type="spellStart"/>
            <w:r w:rsidRPr="00814C0C">
              <w:rPr>
                <w:rStyle w:val="Hyperlink0"/>
                <w:sz w:val="18"/>
                <w:szCs w:val="18"/>
              </w:rPr>
              <w:t>przesylem</w:t>
            </w:r>
            <w:proofErr w:type="spellEnd"/>
            <w:r w:rsidRPr="00814C0C">
              <w:rPr>
                <w:rStyle w:val="Hyperlink0"/>
                <w:sz w:val="18"/>
                <w:szCs w:val="18"/>
              </w:rPr>
              <w:t xml:space="preserve"> plików diagnostycznych,</w:t>
            </w:r>
          </w:p>
          <w:p w:rsidR="00F335AD" w:rsidRPr="00814C0C" w:rsidRDefault="00F335AD" w:rsidP="00F335AD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Hyperlink0"/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</w:rPr>
              <w:t>Producent serwera ponadto powinien mieć w swojej ofercie narzędzia integrujące zarządzanie infrastrukturą z następującymi produktami:</w:t>
            </w:r>
          </w:p>
          <w:p w:rsidR="00F335AD" w:rsidRPr="00814C0C" w:rsidRDefault="00F335AD" w:rsidP="00F335AD">
            <w:pPr>
              <w:numPr>
                <w:ilvl w:val="0"/>
                <w:numId w:val="1"/>
              </w:numPr>
              <w:rPr>
                <w:sz w:val="18"/>
                <w:szCs w:val="18"/>
                <w:lang w:val="pt-PT"/>
              </w:rPr>
            </w:pPr>
            <w:r w:rsidRPr="00814C0C">
              <w:rPr>
                <w:rStyle w:val="Hyperlink0"/>
                <w:sz w:val="18"/>
                <w:szCs w:val="18"/>
                <w:lang w:val="pt-PT"/>
              </w:rPr>
              <w:t>VMware vCenter, Microsoft AdminCenter, Microsoft SystemCenter, RedHat CloudForms, Splunk.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Funkcje zabezpieczeń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>Zainstalowany czujnik otwarcia obudowy zintegrowany z  modułem zarządzania serwerem, hasło włączania, hasło administratora, moduł TPM. Możliwość zainstalowania przedniego panelu zamykanego na klucz.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 xml:space="preserve">Urządzenia hot </w:t>
            </w:r>
            <w:proofErr w:type="spellStart"/>
            <w:r w:rsidRPr="00814C0C">
              <w:rPr>
                <w:rStyle w:val="None"/>
                <w:sz w:val="18"/>
                <w:szCs w:val="18"/>
              </w:rPr>
              <w:t>swap</w:t>
            </w:r>
            <w:proofErr w:type="spellEnd"/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>Dyski twarde, zasilacze, wentylatory.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Obsługa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Możliwość instalacji serwera oraz serwisowania (instalacji oraz deinstalacji) komponentów takich jak: 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riser’ów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 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PCIe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, 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backplane’ów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 dysków twardych, kart rozszerzeń, wentylatorów, bez użycia dodatkowych narzędzi mechanicznych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Diagnostyka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Możliwość przewidywania awarii dla procesorów, regulatorów napięcia, pamięci, dysków wewnętrznych, wentylatorów, zasilaczy, kontrolerów RAID.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Możliwość użycia aplikacji mobilnej na telefonie (iOS lub Android), do przeglądania awarii, konfigurowania ustawień i włączenia/wyłączenia serwera. Podłączenie telefonu odbywa się poprzez dedykowany port USB na froncie serwera.</w:t>
            </w:r>
          </w:p>
          <w:p w:rsidR="00F335AD" w:rsidRPr="00814C0C" w:rsidRDefault="00F335AD" w:rsidP="00B01D75">
            <w:pPr>
              <w:pStyle w:val="Body"/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Wraz z serwerem powinien być dostarczony przenośny panel LCD (wymaga się aby panel był fabrycznie wyposażony w odpowiedni magnez pozwalający na doczepienie go do szafy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rack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) dedykowany do przedmiotowego serwera umożliwiający wyświetlenie poniższych informacji: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aktywne ostrzeżenia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Status serwera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Typ oraz model serwera, numer seryjny 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Wersje oprogramowania UEFI oraz modułu zarządzania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lastRenderedPageBreak/>
              <w:t xml:space="preserve">Informacje </w:t>
            </w:r>
            <w:proofErr w:type="spellStart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nt</w:t>
            </w:r>
            <w:proofErr w:type="spellEnd"/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 xml:space="preserve"> modułu zarządzania: nazwa hosta, adres MAC, adres IP, adres DNS 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Dane środowiskowe: temperaturę procesora, poziom napięcia wejściowego, poziom zużycia energii</w:t>
            </w:r>
          </w:p>
          <w:p w:rsidR="00F335AD" w:rsidRPr="00814C0C" w:rsidRDefault="00F335AD" w:rsidP="00F335AD">
            <w:pPr>
              <w:pStyle w:val="Body"/>
              <w:numPr>
                <w:ilvl w:val="0"/>
                <w:numId w:val="3"/>
              </w:numPr>
              <w:rPr>
                <w:rFonts w:ascii="Arial Narrow" w:hAnsi="Arial Narrow"/>
                <w:color w:val="auto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rFonts w:ascii="Arial Narrow" w:hAnsi="Arial Narrow"/>
                <w:color w:val="auto"/>
                <w:sz w:val="18"/>
                <w:szCs w:val="18"/>
                <w:u w:color="00B050"/>
              </w:rPr>
              <w:t>Aktywne sesje połączeniowe do interfejsu zarządzania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Wspierane systemy operacyjne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  <w:lang w:val="pt-PT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  <w:lang w:val="pt-PT"/>
              </w:rPr>
              <w:t>Microsoft Windows Server 2019, 2022, Red Hat Enterprise Linux 7, 8, 9 SUSE Linux Enterprise Server 12 oraz 15, VMware vSphere (ESXi) 6, 7, Ubuntu 18, 20, 22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rStyle w:val="None"/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System operacyjny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rStyle w:val="Hyperlink0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>Wraz z serwerem należy dostarczyć system Windows Server Standard 2022 obsługujący wszystkie rdzenie w serwerze.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None"/>
                <w:sz w:val="18"/>
                <w:szCs w:val="18"/>
              </w:rPr>
              <w:t>Waga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  <w:lang w:val="pt-PT"/>
              </w:rPr>
              <w:t>Maks. 26.3 [kg]</w:t>
            </w:r>
          </w:p>
        </w:tc>
      </w:tr>
      <w:tr w:rsidR="00F335AD" w:rsidRPr="00631FC3" w:rsidTr="00F335AD">
        <w:trPr>
          <w:trHeight w:val="284"/>
          <w:jc w:val="center"/>
        </w:trPr>
        <w:tc>
          <w:tcPr>
            <w:tcW w:w="159" w:type="dxa"/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rStyle w:val="None"/>
                <w:sz w:val="18"/>
                <w:szCs w:val="18"/>
              </w:rPr>
            </w:pPr>
            <w:r w:rsidRPr="00631FC3">
              <w:rPr>
                <w:rStyle w:val="None"/>
                <w:sz w:val="18"/>
                <w:szCs w:val="18"/>
              </w:rPr>
              <w:t>Wyposażenie dodatkowe</w:t>
            </w:r>
          </w:p>
        </w:tc>
        <w:tc>
          <w:tcPr>
            <w:tcW w:w="75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631FC3" w:rsidRDefault="00F335AD" w:rsidP="00B01D75">
            <w:pPr>
              <w:rPr>
                <w:rStyle w:val="Hyperlink0"/>
                <w:sz w:val="18"/>
                <w:szCs w:val="18"/>
                <w:u w:color="00B050"/>
              </w:rPr>
            </w:pPr>
            <w:r w:rsidRPr="00631FC3">
              <w:rPr>
                <w:rStyle w:val="Hyperlink0"/>
                <w:sz w:val="18"/>
                <w:szCs w:val="18"/>
                <w:u w:color="00B050"/>
              </w:rPr>
              <w:t xml:space="preserve">QNAP QXG-25G2SF-CX6 karta sieciowa Wewnętrzny Włókno 25000 </w:t>
            </w:r>
            <w:proofErr w:type="spellStart"/>
            <w:r w:rsidRPr="00631FC3">
              <w:rPr>
                <w:rStyle w:val="Hyperlink0"/>
                <w:sz w:val="18"/>
                <w:szCs w:val="18"/>
                <w:u w:color="00B050"/>
              </w:rPr>
              <w:t>Mbit</w:t>
            </w:r>
            <w:proofErr w:type="spellEnd"/>
            <w:r w:rsidRPr="00631FC3">
              <w:rPr>
                <w:rStyle w:val="Hyperlink0"/>
                <w:sz w:val="18"/>
                <w:szCs w:val="18"/>
                <w:u w:color="00B050"/>
              </w:rPr>
              <w:t>/s</w:t>
            </w:r>
            <w:r>
              <w:rPr>
                <w:rStyle w:val="Hyperlink0"/>
                <w:sz w:val="18"/>
                <w:szCs w:val="18"/>
                <w:u w:color="00B050"/>
              </w:rPr>
              <w:t xml:space="preserve"> </w:t>
            </w:r>
            <w:r>
              <w:rPr>
                <w:rStyle w:val="Hyperlink0"/>
                <w:sz w:val="18"/>
                <w:szCs w:val="18"/>
                <w:u w:color="00B050"/>
                <w:lang w:val="pt-PT"/>
              </w:rPr>
              <w:t xml:space="preserve"> </w:t>
            </w:r>
            <w:r>
              <w:rPr>
                <w:rStyle w:val="Hyperlink0"/>
                <w:u w:color="00B050"/>
                <w:lang w:val="pt-PT"/>
              </w:rPr>
              <w:t>- 4 szt.</w:t>
            </w:r>
          </w:p>
        </w:tc>
      </w:tr>
      <w:tr w:rsidR="00F335AD" w:rsidRPr="00814C0C" w:rsidTr="00F335AD">
        <w:trPr>
          <w:trHeight w:val="284"/>
          <w:jc w:val="center"/>
        </w:trPr>
        <w:tc>
          <w:tcPr>
            <w:tcW w:w="159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756383" w:rsidRDefault="00F335AD" w:rsidP="00B01D75">
            <w:pPr>
              <w:rPr>
                <w:b/>
                <w:sz w:val="18"/>
                <w:szCs w:val="18"/>
              </w:rPr>
            </w:pPr>
            <w:r w:rsidRPr="00756383">
              <w:rPr>
                <w:rStyle w:val="None"/>
                <w:b/>
                <w:sz w:val="18"/>
                <w:szCs w:val="18"/>
              </w:rPr>
              <w:t>Gwarancja</w:t>
            </w:r>
          </w:p>
        </w:tc>
        <w:tc>
          <w:tcPr>
            <w:tcW w:w="754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35AD" w:rsidRPr="00814C0C" w:rsidRDefault="00F335AD" w:rsidP="00B01D75">
            <w:pPr>
              <w:rPr>
                <w:rStyle w:val="Hyperlink0"/>
                <w:sz w:val="18"/>
                <w:szCs w:val="18"/>
                <w:u w:color="00B050"/>
              </w:rPr>
            </w:pPr>
            <w:r w:rsidRPr="00814C0C">
              <w:rPr>
                <w:rStyle w:val="Hyperlink0"/>
                <w:sz w:val="18"/>
                <w:szCs w:val="18"/>
                <w:u w:color="00B050"/>
              </w:rPr>
              <w:t>60 miesięcy gwarancji producenta on-</w:t>
            </w:r>
            <w:proofErr w:type="spellStart"/>
            <w:r w:rsidRPr="00814C0C">
              <w:rPr>
                <w:rStyle w:val="Hyperlink0"/>
                <w:sz w:val="18"/>
                <w:szCs w:val="18"/>
                <w:u w:color="00B050"/>
              </w:rPr>
              <w:t>site</w:t>
            </w:r>
            <w:proofErr w:type="spellEnd"/>
            <w:r w:rsidRPr="00814C0C">
              <w:rPr>
                <w:rStyle w:val="Hyperlink0"/>
                <w:sz w:val="18"/>
                <w:szCs w:val="18"/>
                <w:u w:color="00B050"/>
              </w:rPr>
              <w:t xml:space="preserve"> w trybie NBD . W przypadku awarii dyski pozostają własnością Zamawiającego. Możliwość wykupienia dodatkowego wsparcia producenta z gwarantowanym czasem naprawy w ciągu 24 godzin. W przypadku braku funkcjonalności przewidywania awarii  dla wszystkich komponentów wymienionych w punkcie Diagnostyka  wymagane jest dostarczenie serwera nadmiarowego, mogącego zastąpić funkcjonalni jak i wydajnościowo wymaganą powyżej maszynę. Wszystkie komponenty serwera powinny być sygnowane i zoptymalizowane do użycia przez producenta serwera.</w:t>
            </w:r>
          </w:p>
          <w:p w:rsidR="00F335AD" w:rsidRPr="00814C0C" w:rsidRDefault="00F335AD" w:rsidP="00B01D75">
            <w:pPr>
              <w:rPr>
                <w:rFonts w:eastAsia="Calibri" w:cs="Calibri"/>
                <w:sz w:val="18"/>
                <w:szCs w:val="18"/>
                <w:u w:color="00B050"/>
              </w:rPr>
            </w:pPr>
          </w:p>
        </w:tc>
      </w:tr>
    </w:tbl>
    <w:p w:rsidR="00811FCE" w:rsidRDefault="00811FCE"/>
    <w:sectPr w:rsidR="00811FCE" w:rsidSect="00F33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01A6"/>
    <w:multiLevelType w:val="hybridMultilevel"/>
    <w:tmpl w:val="F582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5ADC"/>
    <w:multiLevelType w:val="hybridMultilevel"/>
    <w:tmpl w:val="3EF0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10A5"/>
    <w:multiLevelType w:val="hybridMultilevel"/>
    <w:tmpl w:val="68CCC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AD"/>
    <w:rsid w:val="00811FCE"/>
    <w:rsid w:val="00971CBC"/>
    <w:rsid w:val="00A05754"/>
    <w:rsid w:val="00F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34EA-043D-4B1F-A817-15C1215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5A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sw tekst,Bulleted list,Akapit z listą5,Odstavec,Podsis rysunku,normalny tekst,CW_Lista,WYPUNKTOWANIE Akapit z listą,Akapit normalny,List Paragraph2,lp1,Preambuła"/>
    <w:basedOn w:val="Normalny"/>
    <w:link w:val="AkapitzlistZnak"/>
    <w:uiPriority w:val="34"/>
    <w:qFormat/>
    <w:rsid w:val="00F335AD"/>
    <w:pPr>
      <w:contextualSpacing/>
    </w:pPr>
    <w:rPr>
      <w:sz w:val="20"/>
    </w:rPr>
  </w:style>
  <w:style w:type="character" w:customStyle="1" w:styleId="FontStyle31">
    <w:name w:val="Font Style31"/>
    <w:uiPriority w:val="99"/>
    <w:qFormat/>
    <w:locked/>
    <w:rsid w:val="00F335AD"/>
    <w:rPr>
      <w:rFonts w:ascii="Arial Narrow" w:hAnsi="Arial Narrow" w:cs="Arial Narrow"/>
      <w:color w:val="000000"/>
      <w:sz w:val="16"/>
      <w:szCs w:val="16"/>
    </w:rPr>
  </w:style>
  <w:style w:type="character" w:customStyle="1" w:styleId="AkapitzlistZnak">
    <w:name w:val="Akapit z listą Znak"/>
    <w:aliases w:val="Numerowanie Znak,Akapit z listą BS Znak,List Paragraph Znak,Kolorowa lista — akcent 11 Znak,L1 Znak,sw tekst Znak,Bulleted list Znak,Akapit z listą5 Znak,Odstavec Znak,Podsis rysunku Znak,normalny tekst Znak,CW_Lista Znak,lp1 Znak"/>
    <w:link w:val="Akapitzlist"/>
    <w:uiPriority w:val="34"/>
    <w:qFormat/>
    <w:locked/>
    <w:rsid w:val="00F335AD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Hyperlink0">
    <w:name w:val="Hyperlink.0"/>
    <w:rsid w:val="00F335AD"/>
    <w:rPr>
      <w:rFonts w:ascii="Calibri" w:eastAsia="Calibri" w:hAnsi="Calibri" w:cs="Calibri"/>
    </w:rPr>
  </w:style>
  <w:style w:type="character" w:customStyle="1" w:styleId="None">
    <w:name w:val="None"/>
    <w:rsid w:val="00F335AD"/>
  </w:style>
  <w:style w:type="paragraph" w:customStyle="1" w:styleId="Body">
    <w:name w:val="Body"/>
    <w:rsid w:val="00F335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Żerdzińska</dc:creator>
  <cp:keywords/>
  <dc:description/>
  <cp:lastModifiedBy>Anna Demczuk</cp:lastModifiedBy>
  <cp:revision>3</cp:revision>
  <dcterms:created xsi:type="dcterms:W3CDTF">2023-09-27T07:43:00Z</dcterms:created>
  <dcterms:modified xsi:type="dcterms:W3CDTF">2023-09-27T08:23:00Z</dcterms:modified>
</cp:coreProperties>
</file>