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67D9E05B" w14:textId="153FC398" w:rsidR="00A97B56" w:rsidRDefault="005B582E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Pojemnik poczwórny </w:t>
      </w:r>
      <w:r>
        <w:rPr>
          <w:b/>
          <w:sz w:val="22"/>
          <w:szCs w:val="22"/>
        </w:rPr>
        <w:t>z filtrem leukocytarnym in line do KKCz</w:t>
      </w:r>
      <w:r>
        <w:rPr>
          <w:sz w:val="22"/>
        </w:rPr>
        <w:t xml:space="preserve">– </w:t>
      </w:r>
      <w:r>
        <w:rPr>
          <w:b/>
          <w:sz w:val="22"/>
        </w:rPr>
        <w:t xml:space="preserve">w ilości </w:t>
      </w:r>
      <w:r w:rsidR="001330F9">
        <w:rPr>
          <w:b/>
          <w:sz w:val="22"/>
        </w:rPr>
        <w:t>3 5</w:t>
      </w:r>
      <w:r w:rsidR="00C82C39">
        <w:rPr>
          <w:b/>
          <w:sz w:val="22"/>
        </w:rPr>
        <w:t>04</w:t>
      </w:r>
      <w:r w:rsidRPr="00A0719F">
        <w:rPr>
          <w:b/>
          <w:sz w:val="22"/>
        </w:rPr>
        <w:t xml:space="preserve"> szt</w:t>
      </w:r>
      <w:r>
        <w:rPr>
          <w:b/>
          <w:sz w:val="22"/>
        </w:rPr>
        <w:t>.</w:t>
      </w:r>
    </w:p>
    <w:p w14:paraId="4CF51840" w14:textId="77777777" w:rsidR="003B550A" w:rsidRDefault="003B550A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</w:p>
    <w:p w14:paraId="4B18ECA8" w14:textId="7D488946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</w:t>
      </w:r>
      <w:r w:rsidR="002B3BD6">
        <w:rPr>
          <w:b/>
          <w:sz w:val="22"/>
          <w:szCs w:val="22"/>
        </w:rPr>
        <w:t>….………..</w:t>
      </w:r>
      <w:r>
        <w:rPr>
          <w:b/>
          <w:sz w:val="22"/>
          <w:szCs w:val="22"/>
        </w:rPr>
        <w:t>….</w:t>
      </w:r>
    </w:p>
    <w:p w14:paraId="704C8906" w14:textId="62C73511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</w:t>
      </w:r>
      <w:r w:rsidR="002B3BD6">
        <w:rPr>
          <w:b/>
          <w:sz w:val="22"/>
          <w:szCs w:val="22"/>
        </w:rPr>
        <w:t>.…………..</w:t>
      </w:r>
      <w:r>
        <w:rPr>
          <w:b/>
          <w:sz w:val="22"/>
          <w:szCs w:val="22"/>
        </w:rPr>
        <w:t>…</w:t>
      </w:r>
    </w:p>
    <w:p w14:paraId="0EC05F91" w14:textId="77777777" w:rsidR="00735B16" w:rsidRDefault="00735B1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D450B1" w:rsidRPr="00EA7133" w14:paraId="4CD2ABE6" w14:textId="77777777" w:rsidTr="00D450B1">
        <w:tc>
          <w:tcPr>
            <w:tcW w:w="562" w:type="dxa"/>
            <w:vAlign w:val="center"/>
          </w:tcPr>
          <w:p w14:paraId="46241B3D" w14:textId="77777777" w:rsidR="00721115" w:rsidRPr="00EA7133" w:rsidRDefault="00721115" w:rsidP="00D450B1">
            <w:pPr>
              <w:tabs>
                <w:tab w:val="left" w:pos="8505"/>
                <w:tab w:val="left" w:pos="13608"/>
              </w:tabs>
              <w:spacing w:line="276" w:lineRule="auto"/>
              <w:ind w:left="-8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14:paraId="7235D131" w14:textId="77777777" w:rsidR="00721115" w:rsidRPr="00EA7133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1843" w:type="dxa"/>
            <w:vAlign w:val="center"/>
          </w:tcPr>
          <w:p w14:paraId="15A7436F" w14:textId="77777777" w:rsidR="00721115" w:rsidRPr="00EA7133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721115" w14:paraId="046FC4A3" w14:textId="77777777" w:rsidTr="00D450B1">
        <w:tc>
          <w:tcPr>
            <w:tcW w:w="562" w:type="dxa"/>
          </w:tcPr>
          <w:p w14:paraId="491987B2" w14:textId="77777777" w:rsidR="00721115" w:rsidRPr="001C37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3779C24" w14:textId="269D0AC1" w:rsidR="00721115" w:rsidRPr="00721115" w:rsidRDefault="00721115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>Zestaw pojemników musi składać się z drenu do poboru krwi, pojemnika głównego i trzech pojemników</w:t>
            </w:r>
            <w:r w:rsidR="00B2254C"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transferowych trwale i integralnie połączonych drenami zapewniającymi kontrolowany, zamknięty,</w:t>
            </w:r>
            <w:r w:rsidR="00B2254C"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jałowy i apirogenny system przepływu między pojemnikami.</w:t>
            </w:r>
          </w:p>
        </w:tc>
        <w:tc>
          <w:tcPr>
            <w:tcW w:w="1843" w:type="dxa"/>
          </w:tcPr>
          <w:p w14:paraId="4EAE012C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44D7D712" w14:textId="77777777" w:rsidTr="00D450B1">
        <w:tc>
          <w:tcPr>
            <w:tcW w:w="562" w:type="dxa"/>
          </w:tcPr>
          <w:p w14:paraId="4ED757E9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AA34948" w14:textId="7EF5E7CA" w:rsidR="00721115" w:rsidRPr="00721115" w:rsidRDefault="00721115" w:rsidP="00721115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 xml:space="preserve">Budowa: pojemnik macierzysty, środkowy (główny) zawierający płyn konserwujący CPD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721115">
              <w:rPr>
                <w:color w:val="000000"/>
                <w:sz w:val="18"/>
                <w:szCs w:val="18"/>
              </w:rPr>
              <w:t>w ilości zgodnej z obowiązującymi przepisami do pobierania 450 ml ± 10% krwi + pusty pojemnik górny á 400-600 ml do produkcji i przechowywania FFP + pojemnik dolny á 400-600 ml na KKCz3, połączony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z układem filtrującym (filtr typu „soft”) i pojemnikiem odbiorczym na ubogoleukocytarny koncentrat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krwinek czerwonych (przeznaczony do przechowywania UKKCz4/RW5 przez 42 dni), zawierającym RW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w ilości zgodnej z obowiązują</w:t>
            </w:r>
            <w:r>
              <w:rPr>
                <w:color w:val="000000"/>
                <w:sz w:val="18"/>
                <w:szCs w:val="18"/>
              </w:rPr>
              <w:t>cymi przepisami</w:t>
            </w:r>
            <w:r w:rsidRPr="00721115">
              <w:rPr>
                <w:color w:val="000000"/>
                <w:sz w:val="18"/>
                <w:szCs w:val="18"/>
              </w:rPr>
              <w:t>.</w:t>
            </w:r>
          </w:p>
          <w:p w14:paraId="614F8225" w14:textId="3ACA30D0" w:rsidR="00721115" w:rsidRPr="00721115" w:rsidRDefault="00721115" w:rsidP="00721115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>Pojemnik do pobierania musi posiadać połączony drenem z drenem czerpalnym dodatkowy pojemnik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 xml:space="preserve">umożliwiający pobieranie próbek krwi z pierwszej porcji krwi przed donacją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721115">
              <w:rPr>
                <w:color w:val="000000"/>
                <w:sz w:val="18"/>
                <w:szCs w:val="18"/>
              </w:rPr>
              <w:t>o pojemności min. 30 ml,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z dołączonym uniwersalnym portem umożliwiającym pobór próbek krwi w systemie zamkniętym.</w:t>
            </w:r>
          </w:p>
        </w:tc>
        <w:tc>
          <w:tcPr>
            <w:tcW w:w="1843" w:type="dxa"/>
          </w:tcPr>
          <w:p w14:paraId="4240A3C7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2B0FF90D" w14:textId="77777777" w:rsidTr="002E25F3">
        <w:trPr>
          <w:trHeight w:val="691"/>
        </w:trPr>
        <w:tc>
          <w:tcPr>
            <w:tcW w:w="562" w:type="dxa"/>
          </w:tcPr>
          <w:p w14:paraId="276295D9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C1B642D" w14:textId="77777777" w:rsidR="00721115" w:rsidRPr="00A97B56" w:rsidRDefault="00721115" w:rsidP="00FF121A">
            <w:pPr>
              <w:jc w:val="both"/>
              <w:rPr>
                <w:b/>
                <w:bCs/>
                <w:kern w:val="28"/>
                <w:sz w:val="20"/>
                <w:szCs w:val="22"/>
                <w:u w:val="single"/>
              </w:rPr>
            </w:pPr>
            <w:r w:rsidRPr="00C36BB4">
              <w:rPr>
                <w:color w:val="000000"/>
                <w:sz w:val="18"/>
                <w:szCs w:val="18"/>
              </w:rPr>
              <w:t>Zastosowanie: do pobierania krwi, do produkcji koncentratu krwinek czerwonych bez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leukocytarno-płytkowego w roztworze wzbogacającym, osocza świeżo mrożonego oraz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leukocytarno-płytkowego.</w:t>
            </w:r>
          </w:p>
        </w:tc>
        <w:tc>
          <w:tcPr>
            <w:tcW w:w="1843" w:type="dxa"/>
          </w:tcPr>
          <w:p w14:paraId="11DECA9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23DAC76F" w14:textId="77777777" w:rsidTr="00D450B1">
        <w:tc>
          <w:tcPr>
            <w:tcW w:w="562" w:type="dxa"/>
          </w:tcPr>
          <w:p w14:paraId="1ED21F8C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E10FDB2" w14:textId="16CC4FBA" w:rsidR="00721115" w:rsidRPr="00C36BB4" w:rsidRDefault="00721115" w:rsidP="002E25F3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Dren czerpalny musi mieć długość </w:t>
            </w:r>
            <w:r w:rsidR="002E25F3">
              <w:rPr>
                <w:color w:val="000000"/>
                <w:sz w:val="18"/>
                <w:szCs w:val="18"/>
              </w:rPr>
              <w:t>nie mniejszą niż</w:t>
            </w:r>
            <w:r w:rsidRPr="00C36BB4">
              <w:rPr>
                <w:color w:val="000000"/>
                <w:sz w:val="18"/>
                <w:szCs w:val="18"/>
              </w:rPr>
              <w:t xml:space="preserve"> 1</w:t>
            </w:r>
            <w:r w:rsidR="002E25F3">
              <w:rPr>
                <w:color w:val="000000"/>
                <w:sz w:val="18"/>
                <w:szCs w:val="18"/>
              </w:rPr>
              <w:t>05</w:t>
            </w:r>
            <w:r w:rsidRPr="00C36BB4">
              <w:rPr>
                <w:color w:val="000000"/>
                <w:sz w:val="18"/>
                <w:szCs w:val="18"/>
              </w:rPr>
              <w:t xml:space="preserve"> cm</w:t>
            </w:r>
            <w:r w:rsidR="00F7397A">
              <w:rPr>
                <w:color w:val="000000"/>
                <w:sz w:val="18"/>
                <w:szCs w:val="18"/>
              </w:rPr>
              <w:t xml:space="preserve">, </w:t>
            </w:r>
            <w:r w:rsidRPr="00C36BB4">
              <w:rPr>
                <w:color w:val="000000"/>
                <w:sz w:val="18"/>
                <w:szCs w:val="18"/>
              </w:rPr>
              <w:t>zakończony ostrą igłą 16G, poddaną obróbce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zwiększającej poślizg (np. silikonowanie). Konstrukcja igły musi gwarantować zapobieganie wycinaniu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skóry, tkanki podskórnej i żyły (np. ostrze ścięte w dwóch płaszczyznach). Igła musi być szczelnie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zabezpieczona zamkniętą osłonką w taki sposób, aby zdjęcie osłonki z ostrza było możliwe i łatwe bez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użycia jakichkolwiek narzędzi. Po przerwaniu łączenia osłonki z nasadą igły nie może być możliwe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ponowne, trwałe zamocowanie osłonki na igłę. Zestaw winien posiadać dodatkową osłonkę zapewniającą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zabezpieczenie igły po pobraniu (umożliwiającą bezpieczne usunięcie igły z ramienia dawcy) oraz jej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nieodwracalne zablokowanie po zakończeniu donacji. W miejscu połączenia igły z drenem czerpalnym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winien znajdować się wygodny, zapobiegający ślizganiu się palców, uchwyt umożliwiający dokonanie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wkłucia do żyły. Od drenu czerpalnego na wysokości </w:t>
            </w:r>
            <w:r w:rsidR="002E25F3">
              <w:rPr>
                <w:color w:val="000000"/>
                <w:sz w:val="18"/>
                <w:szCs w:val="18"/>
              </w:rPr>
              <w:t>18</w:t>
            </w:r>
            <w:r w:rsidRPr="00C36BB4">
              <w:rPr>
                <w:color w:val="000000"/>
                <w:sz w:val="18"/>
                <w:szCs w:val="18"/>
              </w:rPr>
              <w:t>-35 cm, licząc od igły, winien odchodzić dren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(odejście musi gwarantować komfort wkłucia), doprowadzający tzw. „Pierwszą Krew” do pojemniczka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 pojemności min. 30 ml. Na drenie tym winien znajdować się otwarty zacisk plastikowy pozwalający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W miejscu połączenia drenu pojemnika na „Pierwszą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Krew” i drenu czerpalnego, na jednym z tych drenów winien znajdować się komin z łatwo łamliwą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membraną</w:t>
            </w:r>
            <w:r w:rsidR="00723C8F">
              <w:rPr>
                <w:color w:val="000000"/>
                <w:sz w:val="18"/>
                <w:szCs w:val="18"/>
              </w:rPr>
              <w:t xml:space="preserve"> </w:t>
            </w:r>
            <w:r w:rsidR="002E25F3" w:rsidRPr="002E25F3">
              <w:rPr>
                <w:sz w:val="18"/>
                <w:szCs w:val="18"/>
              </w:rPr>
              <w:t>(</w:t>
            </w:r>
            <w:r w:rsidR="00723C8F" w:rsidRPr="002E25F3">
              <w:rPr>
                <w:sz w:val="18"/>
                <w:szCs w:val="18"/>
              </w:rPr>
              <w:t xml:space="preserve">dopuszcza się </w:t>
            </w:r>
            <w:r w:rsidR="002C10A9" w:rsidRPr="002E25F3">
              <w:rPr>
                <w:sz w:val="18"/>
                <w:szCs w:val="18"/>
              </w:rPr>
              <w:t xml:space="preserve">również </w:t>
            </w:r>
            <w:r w:rsidR="00723C8F" w:rsidRPr="002E25F3">
              <w:rPr>
                <w:sz w:val="18"/>
                <w:szCs w:val="18"/>
              </w:rPr>
              <w:t>jeden komin z łatwo łamiącą się membraną przy pojemniku głównym u ujścia drenu prowadzącego</w:t>
            </w:r>
            <w:r w:rsidR="002C10A9" w:rsidRPr="002E25F3">
              <w:rPr>
                <w:sz w:val="18"/>
                <w:szCs w:val="18"/>
              </w:rPr>
              <w:t xml:space="preserve"> do głównego pojemnika transferowego pustego, dwa kominy z membranami przy pojemniku głównym i drugim u wejścia drenu biegnącego do filtra</w:t>
            </w:r>
            <w:r w:rsidR="002E25F3" w:rsidRPr="002E25F3">
              <w:rPr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>. Poniżej, w odległości około 5 cm od w/w połączenia na drenie czerpalnym winien znajdować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się plastikowy zacisk pozwalający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Dren czerpalny musi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umożliwiać pobranie „pierwszej krwi” nierozcieńczonej antykoagulantem. Pojemnik do pobierania</w:t>
            </w:r>
            <w:r>
              <w:rPr>
                <w:color w:val="000000"/>
                <w:sz w:val="18"/>
                <w:szCs w:val="18"/>
              </w:rPr>
              <w:t xml:space="preserve"> t</w:t>
            </w:r>
            <w:r w:rsidRPr="00C36BB4">
              <w:rPr>
                <w:color w:val="000000"/>
                <w:sz w:val="18"/>
                <w:szCs w:val="18"/>
              </w:rPr>
              <w:t>zw. „Pierwszej Krwi” winien mieć uniwersalny port w formie adaptera z centralnie umieszczoną igłą,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zabezpieczoną w sposób uniemożliwiający samoistny wypływ krwi, umożliwiający pobranie próbek krwi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dla probówek systemu zamkniętego.</w:t>
            </w:r>
          </w:p>
        </w:tc>
        <w:tc>
          <w:tcPr>
            <w:tcW w:w="1843" w:type="dxa"/>
          </w:tcPr>
          <w:p w14:paraId="6CE18C93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78B7AC8" w14:textId="77777777" w:rsidTr="00D450B1">
        <w:tc>
          <w:tcPr>
            <w:tcW w:w="562" w:type="dxa"/>
          </w:tcPr>
          <w:p w14:paraId="1B21B3AF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6F7098D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Średnica drenów winna mieć wymiary zapewniające możliwość ich połączenia w układzie otwartym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zamkniętym.</w:t>
            </w:r>
          </w:p>
        </w:tc>
        <w:tc>
          <w:tcPr>
            <w:tcW w:w="1843" w:type="dxa"/>
          </w:tcPr>
          <w:p w14:paraId="7E366346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C6ADBA4" w14:textId="77777777" w:rsidTr="00D450B1">
        <w:tc>
          <w:tcPr>
            <w:tcW w:w="562" w:type="dxa"/>
          </w:tcPr>
          <w:p w14:paraId="0CF1F1FF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D2D016B" w14:textId="6AA357F6" w:rsidR="00721115" w:rsidRPr="00992DE6" w:rsidRDefault="00721115" w:rsidP="00A34CFC">
            <w:pPr>
              <w:jc w:val="both"/>
              <w:rPr>
                <w:color w:val="FF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łączący pojemnik macierzysty z pustym transferowym na FFP musi umożliwiać preparatykę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na prasach automatycznych i winien mieć długość min. </w:t>
            </w:r>
            <w:r w:rsidR="00A34CFC" w:rsidRPr="005A28DF">
              <w:rPr>
                <w:sz w:val="18"/>
                <w:szCs w:val="18"/>
              </w:rPr>
              <w:t>54</w:t>
            </w:r>
            <w:r w:rsidRPr="005A28DF">
              <w:rPr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cm.</w:t>
            </w:r>
            <w:r w:rsidR="00992DE6">
              <w:rPr>
                <w:color w:val="FF0000"/>
                <w:sz w:val="18"/>
                <w:szCs w:val="18"/>
              </w:rPr>
              <w:t xml:space="preserve"> </w:t>
            </w:r>
            <w:r w:rsidR="00992DE6" w:rsidRPr="00992DE6">
              <w:rPr>
                <w:sz w:val="18"/>
                <w:szCs w:val="18"/>
              </w:rPr>
              <w:t>d</w:t>
            </w:r>
            <w:r w:rsidRPr="00992DE6">
              <w:rPr>
                <w:sz w:val="18"/>
                <w:szCs w:val="18"/>
              </w:rPr>
              <w:t>r</w:t>
            </w:r>
            <w:r w:rsidRPr="00C36BB4">
              <w:rPr>
                <w:color w:val="000000"/>
                <w:sz w:val="18"/>
                <w:szCs w:val="18"/>
              </w:rPr>
              <w:t>en łączący pojemnik macierzysty z pojemnikiem odbiorczym na KKCz musi umożliwiać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preparatykę na prasach automatycznych i winien mieć długość min. </w:t>
            </w:r>
            <w:r w:rsidR="002E25F3">
              <w:rPr>
                <w:color w:val="000000"/>
                <w:sz w:val="18"/>
                <w:szCs w:val="18"/>
              </w:rPr>
              <w:t>39</w:t>
            </w:r>
            <w:r w:rsidRPr="00C36BB4">
              <w:rPr>
                <w:color w:val="000000"/>
                <w:sz w:val="18"/>
                <w:szCs w:val="18"/>
              </w:rPr>
              <w:t xml:space="preserve"> cm</w:t>
            </w:r>
            <w:r w:rsidR="002E25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29C2CAD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B2254C" w14:paraId="171F041D" w14:textId="77777777" w:rsidTr="00D450B1">
        <w:tc>
          <w:tcPr>
            <w:tcW w:w="562" w:type="dxa"/>
          </w:tcPr>
          <w:p w14:paraId="28D01799" w14:textId="77777777" w:rsidR="00B2254C" w:rsidRPr="00EA7133" w:rsidRDefault="00B2254C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F15C4BA" w14:textId="7F06CC98" w:rsidR="00B2254C" w:rsidRPr="00B2254C" w:rsidRDefault="00B2254C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B2254C">
              <w:rPr>
                <w:color w:val="000000"/>
                <w:sz w:val="18"/>
                <w:szCs w:val="18"/>
              </w:rPr>
              <w:t>Dren łączący pojemnik z KKCz z pojemnikiem odbiorczym na UKKCz/RW musi mieć wbudowany filtr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254C">
              <w:rPr>
                <w:color w:val="000000"/>
                <w:sz w:val="18"/>
                <w:szCs w:val="18"/>
              </w:rPr>
              <w:t>antyleukocytarny typu soft. Łączna długość drenu minimum 90 cm, winna zapewnić odpowiedni przepływ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254C">
              <w:rPr>
                <w:color w:val="000000"/>
                <w:sz w:val="18"/>
                <w:szCs w:val="18"/>
              </w:rPr>
              <w:t>filtrowanego składnika.</w:t>
            </w:r>
          </w:p>
          <w:p w14:paraId="52260AD1" w14:textId="13B40B22" w:rsidR="00B2254C" w:rsidRPr="00C36BB4" w:rsidRDefault="00B2254C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B2254C">
              <w:rPr>
                <w:color w:val="000000"/>
                <w:sz w:val="18"/>
                <w:szCs w:val="18"/>
              </w:rPr>
              <w:t xml:space="preserve">Dren przy pojemniku odbiorczym na UKKCz/RW winien mieć długość min. </w:t>
            </w:r>
            <w:r w:rsidRPr="00B2254C">
              <w:rPr>
                <w:sz w:val="18"/>
                <w:szCs w:val="18"/>
              </w:rPr>
              <w:t>45 cm.</w:t>
            </w:r>
          </w:p>
        </w:tc>
        <w:tc>
          <w:tcPr>
            <w:tcW w:w="1843" w:type="dxa"/>
          </w:tcPr>
          <w:p w14:paraId="1879E3A6" w14:textId="77777777" w:rsidR="00B2254C" w:rsidRDefault="00B2254C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50A3644" w14:textId="77777777" w:rsidTr="00D450B1">
        <w:tc>
          <w:tcPr>
            <w:tcW w:w="562" w:type="dxa"/>
          </w:tcPr>
          <w:p w14:paraId="4A78E08B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A4B16A8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Wszystkie dreny muszą być elastyczne, umożliwiać łatwe rolowanie i zadziałanie zacisków wagomieszarek po pobraniu pełnej donacji oraz zacisków pras automatycznych, a także skuteczne wykonywanie zgrzewów na zgrzewarkach różnego typu.</w:t>
            </w:r>
          </w:p>
        </w:tc>
        <w:tc>
          <w:tcPr>
            <w:tcW w:w="1843" w:type="dxa"/>
          </w:tcPr>
          <w:p w14:paraId="4DB0DC8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17A9FCB" w14:textId="77777777" w:rsidTr="00D450B1">
        <w:tc>
          <w:tcPr>
            <w:tcW w:w="562" w:type="dxa"/>
          </w:tcPr>
          <w:p w14:paraId="43D079C9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2FDCFEDE" w14:textId="7FA2CD51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 transferowy do przechowywania osocza winien zapewniać możliwość zamrażania szokowego 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temperaturze minimum (-) 60°C i bezpiecznego przechowywania osocza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w temperaturze poniżej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(–) 25°C do</w:t>
            </w:r>
            <w:r w:rsidR="00D450B1"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 xml:space="preserve"> 900C z zachowaniem elastyczności i jałowości pojemnika.</w:t>
            </w:r>
          </w:p>
        </w:tc>
        <w:tc>
          <w:tcPr>
            <w:tcW w:w="1843" w:type="dxa"/>
          </w:tcPr>
          <w:p w14:paraId="4C2A653C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605B65CA" w14:textId="77777777" w:rsidTr="00D450B1">
        <w:tc>
          <w:tcPr>
            <w:tcW w:w="562" w:type="dxa"/>
          </w:tcPr>
          <w:p w14:paraId="2850DEED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184FC12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Pojemniki muszą być odporne na wirowanie z przyspieszeniem min. 5000xg (w czasie min. 10 minut)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przy objętości pobrania krwi 450 ml ± 10%.</w:t>
            </w:r>
          </w:p>
        </w:tc>
        <w:tc>
          <w:tcPr>
            <w:tcW w:w="1843" w:type="dxa"/>
          </w:tcPr>
          <w:p w14:paraId="25C70D71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75309A76" w14:textId="77777777" w:rsidTr="00D450B1">
        <w:tc>
          <w:tcPr>
            <w:tcW w:w="562" w:type="dxa"/>
          </w:tcPr>
          <w:p w14:paraId="2D5CEA00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089BFE4" w14:textId="23AB88D0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Tworzywo, z którego wykonany jest pojemnik główny i pojemniki transferowe, musi być przejrzyste, umożliwiać wizualną ocenę płynu znajdującego się w pojemniku (w szczególności wykrycie zmętnień)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oraz musi być przepuszczalne dla promieniowania IR używanego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w optycznych detektorach używanych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pras (Compomat G4 Fresenius).</w:t>
            </w:r>
          </w:p>
        </w:tc>
        <w:tc>
          <w:tcPr>
            <w:tcW w:w="1843" w:type="dxa"/>
          </w:tcPr>
          <w:p w14:paraId="1F93690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0B8CBBDA" w14:textId="77777777" w:rsidTr="00D450B1">
        <w:tc>
          <w:tcPr>
            <w:tcW w:w="562" w:type="dxa"/>
          </w:tcPr>
          <w:p w14:paraId="1C2DD140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9223961" w14:textId="77777777" w:rsidR="00FB7033" w:rsidRPr="00FB7033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>Pojemniki umożliwiające przechowywanie UKKCz z dodatkowym płynem wzbogacającym przez 42 dni</w:t>
            </w:r>
          </w:p>
          <w:p w14:paraId="24C13508" w14:textId="61002FE7" w:rsidR="00FB7033" w:rsidRPr="00C36BB4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>– stopień hemolizy UKKCz &lt;0,8% w ostatnim dniu przechowywania we wszystkich pojemnikach.</w:t>
            </w:r>
          </w:p>
        </w:tc>
        <w:tc>
          <w:tcPr>
            <w:tcW w:w="1843" w:type="dxa"/>
          </w:tcPr>
          <w:p w14:paraId="231C30E6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3FA5A085" w14:textId="77777777" w:rsidTr="00D450B1">
        <w:tc>
          <w:tcPr>
            <w:tcW w:w="562" w:type="dxa"/>
          </w:tcPr>
          <w:p w14:paraId="64A2A32A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E5A7DAA" w14:textId="1B984C03" w:rsidR="00721115" w:rsidRPr="005635D5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>Co najmniej na pojemniku głównym, pojemniku górnym do produkcji</w:t>
            </w:r>
            <w:r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i przechowywania FFP oraz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 xml:space="preserve">pojemniku dolnym przeznaczonym do przechowywania UKKCz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z RW muszą być trwale umocowane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etykiety, które nie mogą ulegać uszkodzeniom ani odklejeniu w czasie preparatyki i przechowywania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oraz, których nie może zerwać użytkownik. Etykieta robocza winna mieć wymiary umożliwiające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 xml:space="preserve">przyklejenie na nich etykiety głównej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o wymiarach 10,16 cm x 10,16 cm - zgodnej z wymaganiami ISBT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128 (międzynarodowy standard oznakowania krwi i jej składników)</w:t>
            </w:r>
          </w:p>
        </w:tc>
        <w:tc>
          <w:tcPr>
            <w:tcW w:w="1843" w:type="dxa"/>
          </w:tcPr>
          <w:p w14:paraId="0093C2D2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983583F" w14:textId="77777777" w:rsidTr="00D450B1">
        <w:tc>
          <w:tcPr>
            <w:tcW w:w="562" w:type="dxa"/>
          </w:tcPr>
          <w:p w14:paraId="500BEAEE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4407EE1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Etykieta macierzysta musi posiadać znak CE oraz kody kreskowe odpowiadające wymogom standardu ISBT - 128. Etykiety muszą mieć również wersję polską napisów i zawierać:</w:t>
            </w:r>
          </w:p>
          <w:p w14:paraId="69507672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1) nazwę firmy i nazwę pojemnika (pojemność),</w:t>
            </w:r>
          </w:p>
          <w:p w14:paraId="4EDCE53B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2) informację o rodzaju płynu konserwującego i RW,</w:t>
            </w:r>
          </w:p>
          <w:p w14:paraId="0B52DEE8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3) numer serii i typ pojemnika w postaci literowo-cyfrowej i kodu kreskowego,</w:t>
            </w:r>
          </w:p>
          <w:p w14:paraId="053E0EED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4) datę ważności.</w:t>
            </w:r>
          </w:p>
          <w:p w14:paraId="38CF46C1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Zamawiający dopuszcza etykiety z piktogramami zgodnymi z normą i standardami ISO 3826-2 pod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warunkiem dołączenia instrukcji w języku polskim, gdzie wyjaśnione jest znaczenie piktogramów</w:t>
            </w:r>
          </w:p>
        </w:tc>
        <w:tc>
          <w:tcPr>
            <w:tcW w:w="1843" w:type="dxa"/>
          </w:tcPr>
          <w:p w14:paraId="02DA3DD9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6BF6CDB2" w14:textId="77777777" w:rsidTr="00D450B1">
        <w:tc>
          <w:tcPr>
            <w:tcW w:w="562" w:type="dxa"/>
          </w:tcPr>
          <w:p w14:paraId="4317D14E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3C5827E" w14:textId="523C432D" w:rsidR="00FB7033" w:rsidRPr="005635D5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>Zastosowany w zestawie filtr leukocytarny do filtrowania KKCz, winien być co najmniej III generacji „soft”, liczba pozostałych w składniku po filtracji leukocytów winna być poniżej 1x106 w co najmniej 95% badanych jednostek, przy temperaturze filtrowanego składnika w (+) 22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FB7033">
              <w:rPr>
                <w:color w:val="000000"/>
                <w:sz w:val="18"/>
                <w:szCs w:val="18"/>
              </w:rPr>
              <w:t>C, czas filtracji uzyskanego UKKCz/RW nie dłuższy niż 30 minut.</w:t>
            </w:r>
          </w:p>
        </w:tc>
        <w:tc>
          <w:tcPr>
            <w:tcW w:w="1843" w:type="dxa"/>
          </w:tcPr>
          <w:p w14:paraId="4B2BD77E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19FC2181" w14:textId="77777777" w:rsidTr="00D450B1">
        <w:tc>
          <w:tcPr>
            <w:tcW w:w="562" w:type="dxa"/>
          </w:tcPr>
          <w:p w14:paraId="5AD03ABE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16A7C18" w14:textId="33D7E858" w:rsidR="00FB7033" w:rsidRPr="00FB7033" w:rsidRDefault="00365A76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>Pojemnik główny u wyjścia drenu prowadzącego do górnego pojemnika transferowego pustego, pojemnik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 xml:space="preserve">dolny na KKCz u wyjścia drenu łączącego go z pojemnikiem głównym i pojemnik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>na UKKCz/RW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 xml:space="preserve">u wyjścia drenu łączącego go z układem filtracyjnym winne mieć kominy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>z łatwo łamiącą się w czasie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preparatyki membraną.</w:t>
            </w:r>
          </w:p>
        </w:tc>
        <w:tc>
          <w:tcPr>
            <w:tcW w:w="1843" w:type="dxa"/>
          </w:tcPr>
          <w:p w14:paraId="6D275BDD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8C048C5" w14:textId="77777777" w:rsidTr="00D450B1">
        <w:tc>
          <w:tcPr>
            <w:tcW w:w="562" w:type="dxa"/>
          </w:tcPr>
          <w:p w14:paraId="0EDD1506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527C5120" w14:textId="7CF9545A" w:rsidR="00721115" w:rsidRPr="005635D5" w:rsidRDefault="00FB7033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>Pojemniki na osocze i UKKCz/RW winne zawierać co najmniej 2 porty zabezpieczone błoną</w:t>
            </w:r>
            <w:r w:rsidR="00365A76">
              <w:rPr>
                <w:color w:val="000000"/>
                <w:sz w:val="18"/>
                <w:szCs w:val="18"/>
              </w:rPr>
              <w:t xml:space="preserve">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>od wewnątrz oraz odpowiednią ochroną z zewnątrz zapewniającą jałowość, umożliwiające łatwy dostęp</w:t>
            </w:r>
            <w:r w:rsidR="00365A76"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do podłączenia zestawu do przetoczenia.</w:t>
            </w:r>
          </w:p>
        </w:tc>
        <w:tc>
          <w:tcPr>
            <w:tcW w:w="1843" w:type="dxa"/>
          </w:tcPr>
          <w:p w14:paraId="06410DE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C310D05" w14:textId="77777777" w:rsidTr="00D450B1">
        <w:tc>
          <w:tcPr>
            <w:tcW w:w="562" w:type="dxa"/>
          </w:tcPr>
          <w:p w14:paraId="53B450DB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78ED09A" w14:textId="4E6EAFCA" w:rsidR="00721115" w:rsidRPr="005635D5" w:rsidRDefault="00365A76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>Na górnej krawędzi pojemnika głównego, symetrycznie po dwóch stronach komina ujścia drenu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łączącego pojemnik główny z pustym pojemnikiem na osocze oraz na górnej krawędzi pojemnika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na UKKCz/RW winne znajdować się dwa otwory umożliwiające zawieszenie pojemników na haczykach,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np. prasy automatycznej.</w:t>
            </w:r>
          </w:p>
        </w:tc>
        <w:tc>
          <w:tcPr>
            <w:tcW w:w="1843" w:type="dxa"/>
          </w:tcPr>
          <w:p w14:paraId="4CE58520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54F4A0FE" w14:textId="77777777" w:rsidTr="00D450B1">
        <w:tc>
          <w:tcPr>
            <w:tcW w:w="562" w:type="dxa"/>
          </w:tcPr>
          <w:p w14:paraId="20CD3DFA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CCF6C65" w14:textId="0425FF7A" w:rsidR="00721115" w:rsidRPr="005635D5" w:rsidRDefault="00365A76" w:rsidP="00D450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450B1">
              <w:rPr>
                <w:color w:val="000000"/>
                <w:sz w:val="18"/>
                <w:szCs w:val="18"/>
              </w:rPr>
              <w:t>Centralnie na dolnej krawędzi pojemnika pustego na osocze, pojemnika na KKCz i pojemnika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>na UKKCz/RW oraz na bocznych krawędziach pojemnika pustego na osocze i pojemnika na UKKCz/RW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>winno znajdować się podłużne nacięcie materiału pojemnika, umożliwiające zawieszanie pojemników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 xml:space="preserve">na haczykach pras automatycznych, statywów filtarcyjnych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D450B1">
              <w:rPr>
                <w:color w:val="000000"/>
                <w:sz w:val="18"/>
                <w:szCs w:val="18"/>
              </w:rPr>
              <w:t>i statywów transfuzyjnych.</w:t>
            </w:r>
          </w:p>
        </w:tc>
        <w:tc>
          <w:tcPr>
            <w:tcW w:w="1843" w:type="dxa"/>
          </w:tcPr>
          <w:p w14:paraId="3C7E50F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5410B718" w14:textId="77777777" w:rsidTr="00D450B1">
        <w:tc>
          <w:tcPr>
            <w:tcW w:w="562" w:type="dxa"/>
          </w:tcPr>
          <w:p w14:paraId="659002C9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7CBB7F6" w14:textId="046AE1C5" w:rsidR="00721115" w:rsidRPr="003B550A" w:rsidRDefault="00721115" w:rsidP="003B550A">
            <w:pPr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>Pojedyncze pojemniki/</w:t>
            </w:r>
            <w:r w:rsidR="0035581E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zestawy do pobierania krwi muszą być zamknięte w opakowaniach zabezpieczających</w:t>
            </w:r>
            <w:r>
              <w:rPr>
                <w:color w:val="000000"/>
                <w:sz w:val="18"/>
                <w:szCs w:val="18"/>
              </w:rPr>
              <w:t>.</w:t>
            </w:r>
            <w:r w:rsidR="003B550A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Opakowanie zabezpieczające ma zap</w:t>
            </w:r>
            <w:r>
              <w:rPr>
                <w:color w:val="000000"/>
                <w:sz w:val="18"/>
                <w:szCs w:val="18"/>
              </w:rPr>
              <w:t xml:space="preserve">ewnić zachowanie </w:t>
            </w:r>
            <w:r w:rsidR="0035581E">
              <w:rPr>
                <w:color w:val="000000"/>
                <w:sz w:val="18"/>
                <w:szCs w:val="18"/>
              </w:rPr>
              <w:t>jałowości</w:t>
            </w:r>
            <w:r>
              <w:rPr>
                <w:color w:val="000000"/>
                <w:sz w:val="18"/>
                <w:szCs w:val="18"/>
              </w:rPr>
              <w:t xml:space="preserve"> api</w:t>
            </w:r>
            <w:r w:rsidRPr="00472D7A">
              <w:rPr>
                <w:color w:val="000000"/>
                <w:sz w:val="18"/>
                <w:szCs w:val="18"/>
              </w:rPr>
              <w:t>rogenności pojemników/zestawów, oraz odpowiednią wilgotność w czasie przechowywania.</w:t>
            </w:r>
            <w:r w:rsidR="00B3619F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Pojemniki/zestawy w opakowaniach zabezpieczających muszą być zapakowane w odporne na uszkodzenia opakowania zbiorcze. Jedno o</w:t>
            </w:r>
            <w:r w:rsidRPr="005635D5">
              <w:rPr>
                <w:color w:val="000000"/>
                <w:sz w:val="18"/>
                <w:szCs w:val="18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1843" w:type="dxa"/>
          </w:tcPr>
          <w:p w14:paraId="076BF7DE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4D550261" w14:textId="77777777" w:rsidTr="00D450B1">
        <w:tc>
          <w:tcPr>
            <w:tcW w:w="562" w:type="dxa"/>
          </w:tcPr>
          <w:p w14:paraId="204CFD72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4A3BD34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>Pojemniki oraz antykoagulant muszą spełniać wymogi obecnie obowiązującej wersji monografii Farmakopea Europejska.</w:t>
            </w:r>
          </w:p>
        </w:tc>
        <w:tc>
          <w:tcPr>
            <w:tcW w:w="1843" w:type="dxa"/>
          </w:tcPr>
          <w:p w14:paraId="589E55F8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450B1" w14:paraId="1509FEE9" w14:textId="77777777" w:rsidTr="00D450B1">
        <w:tc>
          <w:tcPr>
            <w:tcW w:w="562" w:type="dxa"/>
          </w:tcPr>
          <w:p w14:paraId="514923AC" w14:textId="77777777" w:rsidR="00721115" w:rsidRPr="00C82C39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DEA4E8E" w14:textId="196338B4" w:rsidR="00721115" w:rsidRPr="00C82C39" w:rsidRDefault="00520D12" w:rsidP="00CF5605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Termin ważności pojemników </w:t>
            </w:r>
            <w:r w:rsidRPr="00520D12">
              <w:rPr>
                <w:sz w:val="18"/>
                <w:szCs w:val="18"/>
              </w:rPr>
              <w:t xml:space="preserve">– min. </w:t>
            </w:r>
            <w:r w:rsidR="00CF5605">
              <w:rPr>
                <w:sz w:val="18"/>
                <w:szCs w:val="18"/>
              </w:rPr>
              <w:t>15 miesięcy</w:t>
            </w:r>
            <w:bookmarkStart w:id="0" w:name="_GoBack"/>
            <w:bookmarkEnd w:id="0"/>
            <w:r w:rsidRPr="00520D12">
              <w:rPr>
                <w:sz w:val="18"/>
                <w:szCs w:val="18"/>
              </w:rPr>
              <w:t xml:space="preserve"> od daty dostawy do Zamawiającego.</w:t>
            </w:r>
          </w:p>
        </w:tc>
        <w:tc>
          <w:tcPr>
            <w:tcW w:w="1843" w:type="dxa"/>
          </w:tcPr>
          <w:p w14:paraId="20D48BF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5A7E2440" w14:textId="77777777" w:rsidR="00F90C76" w:rsidRDefault="00F90C76" w:rsidP="00735B16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344193A0" w14:textId="77777777" w:rsidR="00F90C76" w:rsidRDefault="00F90C76" w:rsidP="00735B16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2DF751D8" w14:textId="00E29024" w:rsidR="00735B16" w:rsidRPr="00735B16" w:rsidRDefault="00735B16" w:rsidP="00735B16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  <w:r w:rsidRPr="00735B16">
        <w:rPr>
          <w:rFonts w:ascii="Arial" w:hAnsi="Arial" w:cs="Arial"/>
          <w:color w:val="FF0000"/>
          <w:sz w:val="18"/>
          <w:szCs w:val="18"/>
          <w:lang w:val="en-US"/>
        </w:rPr>
        <w:t>Dokument wypełnia i podpisuje kwalifikowanym podpisem elektronicznym lub podpisem zaufanym lub podpisem osobistym Wykonawc</w:t>
      </w:r>
      <w:r>
        <w:rPr>
          <w:rFonts w:ascii="Arial" w:hAnsi="Arial" w:cs="Arial"/>
          <w:color w:val="FF0000"/>
          <w:sz w:val="18"/>
          <w:szCs w:val="18"/>
          <w:lang w:val="en-US"/>
        </w:rPr>
        <w:t>a</w:t>
      </w:r>
      <w:r w:rsidRPr="00735B16">
        <w:rPr>
          <w:rFonts w:ascii="Arial" w:hAnsi="Arial" w:cs="Arial"/>
          <w:color w:val="FF0000"/>
          <w:sz w:val="18"/>
          <w:szCs w:val="18"/>
          <w:lang w:val="en-US"/>
        </w:rPr>
        <w:t xml:space="preserve">. </w:t>
      </w:r>
    </w:p>
    <w:p w14:paraId="037E0EE5" w14:textId="7061AE23" w:rsidR="005F43A3" w:rsidRDefault="005F43A3" w:rsidP="00D450B1">
      <w:pPr>
        <w:rPr>
          <w:sz w:val="28"/>
          <w:szCs w:val="22"/>
        </w:rPr>
      </w:pPr>
    </w:p>
    <w:sectPr w:rsidR="005F43A3" w:rsidSect="003B550A">
      <w:headerReference w:type="default" r:id="rId12"/>
      <w:footerReference w:type="default" r:id="rId13"/>
      <w:pgSz w:w="11907" w:h="16840"/>
      <w:pgMar w:top="1157" w:right="1275" w:bottom="1560" w:left="1134" w:header="56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84833052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-1884170383"/>
          <w:docPartObj>
            <w:docPartGallery w:val="Page Numbers (Top of Page)"/>
            <w:docPartUnique/>
          </w:docPartObj>
        </w:sdtPr>
        <w:sdtEndPr/>
        <w:sdtContent>
          <w:p w14:paraId="610E28B1" w14:textId="77777777" w:rsidR="000B4CE2" w:rsidRDefault="000B4CE2">
            <w:pPr>
              <w:pStyle w:val="Stopka"/>
              <w:jc w:val="center"/>
              <w:rPr>
                <w:i/>
                <w:sz w:val="20"/>
              </w:rPr>
            </w:pPr>
          </w:p>
          <w:p w14:paraId="49735DB4" w14:textId="77777777" w:rsidR="000B4CE2" w:rsidRDefault="000B4CE2" w:rsidP="000B4CE2">
            <w:pPr>
              <w:pStyle w:val="Stopka"/>
              <w:jc w:val="center"/>
              <w:rPr>
                <w:i/>
                <w:sz w:val="20"/>
              </w:rPr>
            </w:pPr>
          </w:p>
          <w:p w14:paraId="1AA6A5EC" w14:textId="2688657F" w:rsidR="000B4CE2" w:rsidRDefault="000B4CE2" w:rsidP="00735B16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14:paraId="11D9C542" w14:textId="77777777" w:rsidR="000B4CE2" w:rsidRDefault="000B4CE2" w:rsidP="000B4CE2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6A712C92" w14:textId="77777777" w:rsidR="000B4CE2" w:rsidRDefault="000B4CE2" w:rsidP="000B4CE2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6826A116" w14:textId="773C0A87" w:rsidR="000B4CE2" w:rsidRPr="000B4CE2" w:rsidRDefault="000B4CE2">
            <w:pPr>
              <w:pStyle w:val="Stopka"/>
              <w:jc w:val="center"/>
              <w:rPr>
                <w:i/>
                <w:sz w:val="20"/>
              </w:rPr>
            </w:pPr>
            <w:r w:rsidRPr="000B4CE2">
              <w:rPr>
                <w:i/>
                <w:sz w:val="20"/>
              </w:rPr>
              <w:t xml:space="preserve">Strona </w:t>
            </w:r>
            <w:r w:rsidRPr="000B4CE2">
              <w:rPr>
                <w:b/>
                <w:bCs/>
                <w:i/>
                <w:sz w:val="20"/>
              </w:rPr>
              <w:fldChar w:fldCharType="begin"/>
            </w:r>
            <w:r w:rsidRPr="000B4CE2">
              <w:rPr>
                <w:b/>
                <w:bCs/>
                <w:i/>
                <w:sz w:val="20"/>
              </w:rPr>
              <w:instrText>PAGE</w:instrText>
            </w:r>
            <w:r w:rsidRPr="000B4CE2">
              <w:rPr>
                <w:b/>
                <w:bCs/>
                <w:i/>
                <w:sz w:val="20"/>
              </w:rPr>
              <w:fldChar w:fldCharType="separate"/>
            </w:r>
            <w:r w:rsidR="00CF5605">
              <w:rPr>
                <w:b/>
                <w:bCs/>
                <w:i/>
                <w:noProof/>
                <w:sz w:val="20"/>
              </w:rPr>
              <w:t>3</w:t>
            </w:r>
            <w:r w:rsidRPr="000B4CE2">
              <w:rPr>
                <w:b/>
                <w:bCs/>
                <w:i/>
                <w:sz w:val="20"/>
              </w:rPr>
              <w:fldChar w:fldCharType="end"/>
            </w:r>
            <w:r w:rsidRPr="000B4CE2">
              <w:rPr>
                <w:i/>
                <w:sz w:val="20"/>
              </w:rPr>
              <w:t xml:space="preserve"> z </w:t>
            </w:r>
            <w:r w:rsidRPr="000B4CE2">
              <w:rPr>
                <w:b/>
                <w:bCs/>
                <w:i/>
                <w:sz w:val="20"/>
              </w:rPr>
              <w:fldChar w:fldCharType="begin"/>
            </w:r>
            <w:r w:rsidRPr="000B4CE2">
              <w:rPr>
                <w:b/>
                <w:bCs/>
                <w:i/>
                <w:sz w:val="20"/>
              </w:rPr>
              <w:instrText>NUMPAGES</w:instrText>
            </w:r>
            <w:r w:rsidRPr="000B4CE2">
              <w:rPr>
                <w:b/>
                <w:bCs/>
                <w:i/>
                <w:sz w:val="20"/>
              </w:rPr>
              <w:fldChar w:fldCharType="separate"/>
            </w:r>
            <w:r w:rsidR="00CF5605">
              <w:rPr>
                <w:b/>
                <w:bCs/>
                <w:i/>
                <w:noProof/>
                <w:sz w:val="20"/>
              </w:rPr>
              <w:t>3</w:t>
            </w:r>
            <w:r w:rsidRPr="000B4CE2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42748A4" w14:textId="77777777" w:rsidR="00001F3D" w:rsidRDefault="0000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233AEC4F" w:rsidR="00E6281F" w:rsidRPr="000768F5" w:rsidRDefault="00E6281F" w:rsidP="00A34CF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735B16">
      <w:rPr>
        <w:sz w:val="20"/>
      </w:rPr>
      <w:t>2/2022</w:t>
    </w:r>
    <w:r w:rsidR="00EA7133">
      <w:rPr>
        <w:sz w:val="20"/>
      </w:rPr>
      <w:t xml:space="preserve"> – ZADANIE NR </w:t>
    </w:r>
    <w:r w:rsidR="00001F3D">
      <w:rPr>
        <w:sz w:val="20"/>
      </w:rPr>
      <w:t>2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1B</w:t>
    </w:r>
    <w:r w:rsidR="00735B16">
      <w:rPr>
        <w:sz w:val="20"/>
      </w:rPr>
      <w:t xml:space="preserve"> do S</w:t>
    </w:r>
    <w:r>
      <w:rPr>
        <w:sz w:val="20"/>
      </w:rPr>
      <w:t>WZ</w:t>
    </w:r>
  </w:p>
  <w:p w14:paraId="34502809" w14:textId="33DFC076" w:rsidR="00E953FF" w:rsidRPr="00D450B1" w:rsidRDefault="00E6281F" w:rsidP="00D450B1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F02114"/>
    <w:multiLevelType w:val="hybridMultilevel"/>
    <w:tmpl w:val="5FD0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1D22EB"/>
    <w:multiLevelType w:val="multilevel"/>
    <w:tmpl w:val="C9DEEC2C"/>
    <w:numStyleLink w:val="NBPpunktoryobrazkowe"/>
  </w:abstractNum>
  <w:abstractNum w:abstractNumId="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7"/>
  </w:num>
  <w:num w:numId="2">
    <w:abstractNumId w:val="39"/>
  </w:num>
  <w:num w:numId="3">
    <w:abstractNumId w:val="34"/>
  </w:num>
  <w:num w:numId="4">
    <w:abstractNumId w:val="21"/>
  </w:num>
  <w:num w:numId="5">
    <w:abstractNumId w:val="12"/>
  </w:num>
  <w:num w:numId="6">
    <w:abstractNumId w:val="62"/>
  </w:num>
  <w:num w:numId="7">
    <w:abstractNumId w:val="55"/>
  </w:num>
  <w:num w:numId="8">
    <w:abstractNumId w:val="42"/>
  </w:num>
  <w:num w:numId="9">
    <w:abstractNumId w:val="14"/>
  </w:num>
  <w:num w:numId="10">
    <w:abstractNumId w:val="10"/>
  </w:num>
  <w:num w:numId="11">
    <w:abstractNumId w:val="67"/>
  </w:num>
  <w:num w:numId="12">
    <w:abstractNumId w:val="32"/>
  </w:num>
  <w:num w:numId="13">
    <w:abstractNumId w:val="66"/>
  </w:num>
  <w:num w:numId="14">
    <w:abstractNumId w:val="11"/>
  </w:num>
  <w:num w:numId="15">
    <w:abstractNumId w:val="1"/>
  </w:num>
  <w:num w:numId="16">
    <w:abstractNumId w:val="0"/>
  </w:num>
  <w:num w:numId="17">
    <w:abstractNumId w:val="60"/>
  </w:num>
  <w:num w:numId="18">
    <w:abstractNumId w:val="18"/>
  </w:num>
  <w:num w:numId="19">
    <w:abstractNumId w:val="28"/>
  </w:num>
  <w:num w:numId="20">
    <w:abstractNumId w:val="63"/>
  </w:num>
  <w:num w:numId="21">
    <w:abstractNumId w:val="26"/>
  </w:num>
  <w:num w:numId="22">
    <w:abstractNumId w:val="5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51"/>
  </w:num>
  <w:num w:numId="27">
    <w:abstractNumId w:val="37"/>
  </w:num>
  <w:num w:numId="28">
    <w:abstractNumId w:val="22"/>
  </w:num>
  <w:num w:numId="29">
    <w:abstractNumId w:val="33"/>
  </w:num>
  <w:num w:numId="30">
    <w:abstractNumId w:val="6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25"/>
  </w:num>
  <w:num w:numId="35">
    <w:abstractNumId w:val="17"/>
  </w:num>
  <w:num w:numId="36">
    <w:abstractNumId w:val="40"/>
  </w:num>
  <w:num w:numId="37">
    <w:abstractNumId w:val="20"/>
  </w:num>
  <w:num w:numId="38">
    <w:abstractNumId w:val="7"/>
  </w:num>
  <w:num w:numId="39">
    <w:abstractNumId w:val="45"/>
  </w:num>
  <w:num w:numId="40">
    <w:abstractNumId w:val="56"/>
  </w:num>
  <w:num w:numId="41">
    <w:abstractNumId w:val="68"/>
  </w:num>
  <w:num w:numId="42">
    <w:abstractNumId w:val="36"/>
  </w:num>
  <w:num w:numId="43">
    <w:abstractNumId w:val="47"/>
  </w:num>
  <w:num w:numId="44">
    <w:abstractNumId w:val="64"/>
  </w:num>
  <w:num w:numId="45">
    <w:abstractNumId w:val="15"/>
  </w:num>
  <w:num w:numId="46">
    <w:abstractNumId w:val="29"/>
  </w:num>
  <w:num w:numId="47">
    <w:abstractNumId w:val="52"/>
  </w:num>
  <w:num w:numId="48">
    <w:abstractNumId w:val="59"/>
  </w:num>
  <w:num w:numId="49">
    <w:abstractNumId w:val="35"/>
  </w:num>
  <w:num w:numId="50">
    <w:abstractNumId w:val="27"/>
  </w:num>
  <w:num w:numId="51">
    <w:abstractNumId w:val="48"/>
  </w:num>
  <w:num w:numId="52">
    <w:abstractNumId w:val="41"/>
  </w:num>
  <w:num w:numId="53">
    <w:abstractNumId w:val="19"/>
  </w:num>
  <w:num w:numId="54">
    <w:abstractNumId w:val="58"/>
  </w:num>
  <w:num w:numId="55">
    <w:abstractNumId w:val="8"/>
  </w:num>
  <w:num w:numId="56">
    <w:abstractNumId w:val="9"/>
  </w:num>
  <w:num w:numId="57">
    <w:abstractNumId w:val="49"/>
  </w:num>
  <w:num w:numId="58">
    <w:abstractNumId w:val="44"/>
  </w:num>
  <w:num w:numId="59">
    <w:abstractNumId w:val="31"/>
  </w:num>
  <w:num w:numId="60">
    <w:abstractNumId w:val="54"/>
  </w:num>
  <w:num w:numId="61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CE2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30F9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BD6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0A9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8FA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5F3"/>
    <w:rsid w:val="002E3011"/>
    <w:rsid w:val="002E32D9"/>
    <w:rsid w:val="002E4121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81E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A76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50A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0D12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28DF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115"/>
    <w:rsid w:val="00721984"/>
    <w:rsid w:val="00722663"/>
    <w:rsid w:val="00722BB3"/>
    <w:rsid w:val="007235B7"/>
    <w:rsid w:val="007235D3"/>
    <w:rsid w:val="00723963"/>
    <w:rsid w:val="007239EC"/>
    <w:rsid w:val="00723A57"/>
    <w:rsid w:val="00723C8F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B16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C2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43B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297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DE6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19F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CFC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871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4E95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54C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19F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3FFB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2C39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5605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0B1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7E5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97A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0C76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033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01B172-3A44-4468-9A3F-4DA89481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9264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2019-01-21T13:26:00Z</cp:lastPrinted>
  <dcterms:created xsi:type="dcterms:W3CDTF">2022-02-02T13:46:00Z</dcterms:created>
  <dcterms:modified xsi:type="dcterms:W3CDTF">2022-02-02T13:46:00Z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