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B34" w14:textId="45CB5AC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927311">
        <w:rPr>
          <w:sz w:val="22"/>
          <w:szCs w:val="22"/>
        </w:rPr>
        <w:t>5</w:t>
      </w:r>
      <w:r w:rsidR="00636BB0">
        <w:rPr>
          <w:sz w:val="22"/>
          <w:szCs w:val="22"/>
        </w:rPr>
        <w:t>.202</w:t>
      </w:r>
      <w:r w:rsidR="00927311">
        <w:rPr>
          <w:sz w:val="22"/>
          <w:szCs w:val="22"/>
        </w:rPr>
        <w:t>4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</w:t>
            </w:r>
            <w:proofErr w:type="spellStart"/>
            <w:r w:rsidRPr="00E21A51">
              <w:rPr>
                <w:b/>
                <w:sz w:val="20"/>
                <w:szCs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B17F3F0" w14:textId="3AC7B7C3" w:rsidR="00B24348" w:rsidRPr="00B24348" w:rsidRDefault="00B24348" w:rsidP="00E21A51">
      <w:pPr>
        <w:pStyle w:val="Akapitzlist"/>
        <w:numPr>
          <w:ilvl w:val="0"/>
          <w:numId w:val="66"/>
        </w:numPr>
        <w:spacing w:line="276" w:lineRule="auto"/>
        <w:jc w:val="both"/>
      </w:pPr>
      <w:r w:rsidRPr="00852B56">
        <w:rPr>
          <w:sz w:val="22"/>
          <w:szCs w:val="22"/>
        </w:rPr>
        <w:lastRenderedPageBreak/>
        <w:t xml:space="preserve">W związku z ogłoszeniem zamówienia publicznego w trybie podstawowym bez negocjacji na: </w:t>
      </w:r>
      <w:r w:rsidR="00927311">
        <w:rPr>
          <w:sz w:val="22"/>
          <w:szCs w:val="22"/>
        </w:rPr>
        <w:t>„</w:t>
      </w:r>
      <w:r w:rsidR="00927311" w:rsidRPr="00927311">
        <w:rPr>
          <w:b/>
          <w:sz w:val="22"/>
          <w:szCs w:val="22"/>
        </w:rPr>
        <w:t>Termomodernizacja budynków użyteczności publicznej na terenie gminy Rogowo i Utworzenie Centrum Usług Społecznych w Gminie Rogowo – Prace remontowo – budowlane i adaptacyjne</w:t>
      </w:r>
      <w:r w:rsidR="00636BB0" w:rsidRPr="00636BB0">
        <w:rPr>
          <w:b/>
          <w:sz w:val="22"/>
          <w:szCs w:val="22"/>
        </w:rPr>
        <w:t>”</w:t>
      </w:r>
      <w:r w:rsidR="00636BB0">
        <w:rPr>
          <w:b/>
          <w:sz w:val="22"/>
          <w:szCs w:val="22"/>
        </w:rPr>
        <w:t xml:space="preserve"> </w:t>
      </w:r>
      <w:r w:rsidRPr="00852B56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6FAC771D" w14:textId="77777777" w:rsidR="00927311" w:rsidRDefault="00927311" w:rsidP="00927311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14:paraId="4A9A5BB8" w14:textId="77777777" w:rsidR="00927311" w:rsidRDefault="00927311" w:rsidP="00927311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14:paraId="50F603F2" w14:textId="466277CA" w:rsidR="00B24348" w:rsidRPr="00B24348" w:rsidRDefault="00927311" w:rsidP="00927311">
      <w:pPr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1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451B19" w:rsidRPr="00B24348" w14:paraId="5B894C8F" w14:textId="77777777" w:rsidTr="00451B19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90238E1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354CBAAC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5BA23565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78E74685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451B19" w:rsidRPr="00B24348" w14:paraId="730D2BAB" w14:textId="77777777" w:rsidTr="00451B19">
        <w:trPr>
          <w:trHeight w:val="932"/>
        </w:trPr>
        <w:tc>
          <w:tcPr>
            <w:tcW w:w="3418" w:type="dxa"/>
            <w:vAlign w:val="center"/>
          </w:tcPr>
          <w:p w14:paraId="675C772D" w14:textId="77777777" w:rsidR="00451B19" w:rsidRDefault="00927311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CZĘŚĆ 1: </w:t>
            </w:r>
          </w:p>
          <w:p w14:paraId="3D4AE7AF" w14:textId="4956F607" w:rsidR="00927311" w:rsidRPr="00636BB0" w:rsidRDefault="00927311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927311">
              <w:rPr>
                <w:b/>
                <w:sz w:val="22"/>
                <w:szCs w:val="22"/>
              </w:rPr>
              <w:t>Termomodernizacja budynków użyteczności publicznej na terenie gminy Rogowo</w:t>
            </w:r>
          </w:p>
        </w:tc>
        <w:tc>
          <w:tcPr>
            <w:tcW w:w="2361" w:type="dxa"/>
            <w:vAlign w:val="center"/>
          </w:tcPr>
          <w:p w14:paraId="7DA70754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0BD10ACB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6D97C929" w14:textId="77777777" w:rsidR="00451B19" w:rsidRPr="00B24348" w:rsidRDefault="00451B19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5B513009" w14:textId="77777777" w:rsidR="00852B56" w:rsidRDefault="00852B56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54ACBF48" w14:textId="77777777" w:rsidR="00B24348" w:rsidRPr="005E16FB" w:rsidRDefault="00B24348" w:rsidP="00852B56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(uzupełnia Wykonawca)  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B24348" w:rsidRPr="005E16FB" w14:paraId="3639EADF" w14:textId="77777777" w:rsidTr="00A05A61">
        <w:trPr>
          <w:trHeight w:val="1045"/>
        </w:trPr>
        <w:tc>
          <w:tcPr>
            <w:tcW w:w="4801" w:type="dxa"/>
            <w:shd w:val="clear" w:color="auto" w:fill="C6D9F1"/>
          </w:tcPr>
          <w:p w14:paraId="02330A39" w14:textId="77777777" w:rsidR="00852B56" w:rsidRDefault="00852B56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7B1BD0BF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 w:rsidR="00852B56">
              <w:rPr>
                <w:b/>
                <w:sz w:val="22"/>
                <w:szCs w:val="22"/>
              </w:rPr>
              <w:t xml:space="preserve">na roboty budowlane </w:t>
            </w:r>
          </w:p>
          <w:p w14:paraId="75241763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04A22662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01" w:type="dxa"/>
          </w:tcPr>
          <w:p w14:paraId="5BA722FD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35F63640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418C1622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 w:rsidR="00852B56"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66F442A7" w14:textId="77777777" w:rsidR="00B24348" w:rsidRDefault="00B24348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68A8BE70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576DD4F" w14:textId="7CE070A7" w:rsidR="00927311" w:rsidRPr="00B24348" w:rsidRDefault="00927311" w:rsidP="00927311">
      <w:pPr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65C9D84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68835EC9" w14:textId="6AC7A665" w:rsidR="00927311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CZĘŚĆ </w:t>
            </w:r>
            <w:r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 xml:space="preserve">: </w:t>
            </w:r>
          </w:p>
          <w:p w14:paraId="12D835CA" w14:textId="074BECC1" w:rsidR="00927311" w:rsidRPr="00636BB0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927311">
              <w:rPr>
                <w:b/>
                <w:sz w:val="22"/>
                <w:szCs w:val="22"/>
              </w:rPr>
              <w:t>Utworzenie Centrum Usług Społecznych w Gminie Rogowo – Prace remontowo – budowlane i adaptacyjne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7777777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(uzupełnia Wykonawca)  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927311" w:rsidRPr="005E16FB" w14:paraId="69C4D877" w14:textId="77777777" w:rsidTr="009113AC">
        <w:trPr>
          <w:trHeight w:val="1045"/>
        </w:trPr>
        <w:tc>
          <w:tcPr>
            <w:tcW w:w="4801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1F867AEC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>
              <w:rPr>
                <w:b/>
                <w:sz w:val="22"/>
                <w:szCs w:val="22"/>
              </w:rPr>
              <w:t xml:space="preserve">na roboty budowlane </w:t>
            </w:r>
          </w:p>
          <w:p w14:paraId="05266FA7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E960AD3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01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62D5B99C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7702AE7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020DC908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1C5D1CB" w14:textId="77777777" w:rsidR="00927311" w:rsidRPr="00B24348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927311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lastRenderedPageBreak/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9273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285AD1E6" w14:textId="77777777" w:rsidR="00B24348" w:rsidRPr="00E21A51" w:rsidRDefault="00B24348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3F3331F5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7EABCC96" w14:textId="77777777" w:rsidR="00B24348" w:rsidRPr="00B24348" w:rsidRDefault="00852B56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4348" w:rsidRPr="00B24348">
        <w:rPr>
          <w:sz w:val="22"/>
          <w:szCs w:val="22"/>
        </w:rPr>
        <w:t xml:space="preserve">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</w:t>
      </w:r>
      <w:r w:rsidR="00E21A51" w:rsidRPr="00E21A51">
        <w:rPr>
          <w:sz w:val="22"/>
          <w:szCs w:val="22"/>
        </w:rPr>
        <w:t xml:space="preserve"> </w:t>
      </w:r>
      <w:r w:rsidR="00E21A51" w:rsidRPr="00E21A51">
        <w:rPr>
          <w:sz w:val="22"/>
          <w:szCs w:val="22"/>
          <w:u w:val="single"/>
        </w:rPr>
        <w:t>nie jest</w:t>
      </w:r>
      <w:r w:rsidR="00B24348" w:rsidRPr="00B24348">
        <w:rPr>
          <w:sz w:val="22"/>
          <w:szCs w:val="22"/>
        </w:rPr>
        <w:t xml:space="preserve">: </w:t>
      </w:r>
    </w:p>
    <w:p w14:paraId="1FD48AA2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7D7314F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58B6FFA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153A036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0DFCAECF" w14:textId="77777777" w:rsidR="00B24348" w:rsidRPr="00B24348" w:rsidRDefault="00B24348" w:rsidP="00927311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F7FA" w14:textId="77777777" w:rsidR="00350C27" w:rsidRDefault="00350C27" w:rsidP="00A57F2D">
      <w:r>
        <w:separator/>
      </w:r>
    </w:p>
  </w:endnote>
  <w:endnote w:type="continuationSeparator" w:id="0">
    <w:p w14:paraId="56454C6A" w14:textId="77777777" w:rsidR="00350C27" w:rsidRDefault="00350C27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FD7D" w14:textId="77777777" w:rsidR="00350C27" w:rsidRDefault="00350C27" w:rsidP="00A57F2D">
      <w:r>
        <w:separator/>
      </w:r>
    </w:p>
  </w:footnote>
  <w:footnote w:type="continuationSeparator" w:id="0">
    <w:p w14:paraId="05ECD5C8" w14:textId="77777777" w:rsidR="00350C27" w:rsidRDefault="00350C27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9FB3" w14:textId="502D62E7" w:rsidR="00485F30" w:rsidRDefault="00927311" w:rsidP="0094724C">
    <w:pPr>
      <w:pStyle w:val="Nagwek"/>
      <w:jc w:val="center"/>
    </w:pPr>
    <w:r>
      <w:rPr>
        <w:noProof/>
      </w:rPr>
      <w:drawing>
        <wp:inline distT="0" distB="0" distL="0" distR="0" wp14:anchorId="78380C0F" wp14:editId="3D6914B9">
          <wp:extent cx="5760720" cy="485775"/>
          <wp:effectExtent l="0" t="0" r="0" b="0"/>
          <wp:docPr id="506940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40629" name="Obraz 506940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6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1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2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3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507D89"/>
    <w:multiLevelType w:val="hybridMultilevel"/>
    <w:tmpl w:val="4CB2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6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3"/>
  </w:num>
  <w:num w:numId="2" w16cid:durableId="1129283166">
    <w:abstractNumId w:val="34"/>
  </w:num>
  <w:num w:numId="3" w16cid:durableId="327752220">
    <w:abstractNumId w:val="29"/>
  </w:num>
  <w:num w:numId="4" w16cid:durableId="802965739">
    <w:abstractNumId w:val="55"/>
  </w:num>
  <w:num w:numId="5" w16cid:durableId="1987871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66"/>
  </w:num>
  <w:num w:numId="7" w16cid:durableId="1347173351">
    <w:abstractNumId w:val="39"/>
  </w:num>
  <w:num w:numId="8" w16cid:durableId="423502360">
    <w:abstractNumId w:val="18"/>
  </w:num>
  <w:num w:numId="9" w16cid:durableId="1307323633">
    <w:abstractNumId w:val="45"/>
  </w:num>
  <w:num w:numId="10" w16cid:durableId="489366607">
    <w:abstractNumId w:val="61"/>
  </w:num>
  <w:num w:numId="11" w16cid:durableId="501235738">
    <w:abstractNumId w:val="22"/>
  </w:num>
  <w:num w:numId="12" w16cid:durableId="1839341908">
    <w:abstractNumId w:val="13"/>
  </w:num>
  <w:num w:numId="13" w16cid:durableId="1016081616">
    <w:abstractNumId w:val="49"/>
  </w:num>
  <w:num w:numId="14" w16cid:durableId="142547970">
    <w:abstractNumId w:val="31"/>
  </w:num>
  <w:num w:numId="15" w16cid:durableId="1836804056">
    <w:abstractNumId w:val="57"/>
  </w:num>
  <w:num w:numId="16" w16cid:durableId="351224183">
    <w:abstractNumId w:val="11"/>
  </w:num>
  <w:num w:numId="17" w16cid:durableId="1040008426">
    <w:abstractNumId w:val="48"/>
  </w:num>
  <w:num w:numId="18" w16cid:durableId="1203857695">
    <w:abstractNumId w:val="53"/>
  </w:num>
  <w:num w:numId="19" w16cid:durableId="1297178830">
    <w:abstractNumId w:val="40"/>
  </w:num>
  <w:num w:numId="20" w16cid:durableId="127749187">
    <w:abstractNumId w:val="35"/>
  </w:num>
  <w:num w:numId="21" w16cid:durableId="1635328645">
    <w:abstractNumId w:val="26"/>
  </w:num>
  <w:num w:numId="22" w16cid:durableId="738944738">
    <w:abstractNumId w:val="15"/>
  </w:num>
  <w:num w:numId="23" w16cid:durableId="361397019">
    <w:abstractNumId w:val="25"/>
  </w:num>
  <w:num w:numId="24" w16cid:durableId="1155562634">
    <w:abstractNumId w:val="30"/>
  </w:num>
  <w:num w:numId="25" w16cid:durableId="831068380">
    <w:abstractNumId w:val="21"/>
  </w:num>
  <w:num w:numId="26" w16cid:durableId="250165125">
    <w:abstractNumId w:val="12"/>
  </w:num>
  <w:num w:numId="27" w16cid:durableId="2142335779">
    <w:abstractNumId w:val="37"/>
  </w:num>
  <w:num w:numId="28" w16cid:durableId="2045709333">
    <w:abstractNumId w:val="44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4"/>
  </w:num>
  <w:num w:numId="32" w16cid:durableId="1709332478">
    <w:abstractNumId w:val="23"/>
  </w:num>
  <w:num w:numId="33" w16cid:durableId="213077685">
    <w:abstractNumId w:val="47"/>
  </w:num>
  <w:num w:numId="34" w16cid:durableId="183980643">
    <w:abstractNumId w:val="64"/>
  </w:num>
  <w:num w:numId="35" w16cid:durableId="274949802">
    <w:abstractNumId w:val="52"/>
  </w:num>
  <w:num w:numId="36" w16cid:durableId="185877181">
    <w:abstractNumId w:val="51"/>
  </w:num>
  <w:num w:numId="37" w16cid:durableId="431509521">
    <w:abstractNumId w:val="50"/>
  </w:num>
  <w:num w:numId="38" w16cid:durableId="1793941446">
    <w:abstractNumId w:val="56"/>
  </w:num>
  <w:num w:numId="39" w16cid:durableId="957878494">
    <w:abstractNumId w:val="43"/>
  </w:num>
  <w:num w:numId="40" w16cid:durableId="1107195865">
    <w:abstractNumId w:val="28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4"/>
  </w:num>
  <w:num w:numId="44" w16cid:durableId="1974484194">
    <w:abstractNumId w:val="36"/>
  </w:num>
  <w:num w:numId="45" w16cid:durableId="1137995286">
    <w:abstractNumId w:val="46"/>
  </w:num>
  <w:num w:numId="46" w16cid:durableId="373430360">
    <w:abstractNumId w:val="17"/>
  </w:num>
  <w:num w:numId="47" w16cid:durableId="527837365">
    <w:abstractNumId w:val="32"/>
  </w:num>
  <w:num w:numId="48" w16cid:durableId="1149635984">
    <w:abstractNumId w:val="59"/>
  </w:num>
  <w:num w:numId="49" w16cid:durableId="586233993">
    <w:abstractNumId w:val="7"/>
  </w:num>
  <w:num w:numId="50" w16cid:durableId="1381786106">
    <w:abstractNumId w:val="60"/>
  </w:num>
  <w:num w:numId="51" w16cid:durableId="1184053705">
    <w:abstractNumId w:val="0"/>
  </w:num>
  <w:num w:numId="52" w16cid:durableId="1960212302">
    <w:abstractNumId w:val="38"/>
  </w:num>
  <w:num w:numId="53" w16cid:durableId="284043">
    <w:abstractNumId w:val="19"/>
  </w:num>
  <w:num w:numId="54" w16cid:durableId="1529642779">
    <w:abstractNumId w:val="42"/>
  </w:num>
  <w:num w:numId="55" w16cid:durableId="30157329">
    <w:abstractNumId w:val="33"/>
  </w:num>
  <w:num w:numId="56" w16cid:durableId="1710259493">
    <w:abstractNumId w:val="62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6"/>
  </w:num>
  <w:num w:numId="62" w16cid:durableId="2110463651">
    <w:abstractNumId w:val="20"/>
  </w:num>
  <w:num w:numId="63" w16cid:durableId="1076391801">
    <w:abstractNumId w:val="27"/>
  </w:num>
  <w:num w:numId="64" w16cid:durableId="1212304264">
    <w:abstractNumId w:val="41"/>
  </w:num>
  <w:num w:numId="65" w16cid:durableId="1928610390">
    <w:abstractNumId w:val="1"/>
  </w:num>
  <w:num w:numId="66" w16cid:durableId="474028305">
    <w:abstractNumId w:val="54"/>
  </w:num>
  <w:num w:numId="67" w16cid:durableId="1407805927">
    <w:abstractNumId w:val="5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506DF"/>
    <w:rsid w:val="00451B19"/>
    <w:rsid w:val="004521AA"/>
    <w:rsid w:val="004530D7"/>
    <w:rsid w:val="00454B83"/>
    <w:rsid w:val="00454D99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4916"/>
    <w:rsid w:val="00B35D1B"/>
    <w:rsid w:val="00B41927"/>
    <w:rsid w:val="00B41F40"/>
    <w:rsid w:val="00B44894"/>
    <w:rsid w:val="00B5212F"/>
    <w:rsid w:val="00B66D8A"/>
    <w:rsid w:val="00B71C16"/>
    <w:rsid w:val="00B973FC"/>
    <w:rsid w:val="00B97539"/>
    <w:rsid w:val="00BA6ECF"/>
    <w:rsid w:val="00BC05D5"/>
    <w:rsid w:val="00BE0CE5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69C1"/>
    <w:rsid w:val="00C77088"/>
    <w:rsid w:val="00C86256"/>
    <w:rsid w:val="00C9064F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83648"/>
    <w:rsid w:val="00E83B86"/>
    <w:rsid w:val="00E848F9"/>
    <w:rsid w:val="00E8658C"/>
    <w:rsid w:val="00E86C7F"/>
    <w:rsid w:val="00E92065"/>
    <w:rsid w:val="00E96C63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6005E"/>
    <w:rsid w:val="00F623F6"/>
    <w:rsid w:val="00F64168"/>
    <w:rsid w:val="00F74379"/>
    <w:rsid w:val="00F81FF6"/>
    <w:rsid w:val="00F82538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8</cp:revision>
  <cp:lastPrinted>2021-11-19T10:59:00Z</cp:lastPrinted>
  <dcterms:created xsi:type="dcterms:W3CDTF">2022-10-19T10:29:00Z</dcterms:created>
  <dcterms:modified xsi:type="dcterms:W3CDTF">2024-06-24T13:23:00Z</dcterms:modified>
</cp:coreProperties>
</file>