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0547" w14:textId="4936851B" w:rsidR="00944C6A" w:rsidRPr="00D93EEE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D93E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A366E6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1</w:t>
      </w:r>
      <w:r w:rsidR="00D93EEE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0</w:t>
      </w:r>
      <w:r w:rsidRPr="00D93EE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</w:t>
      </w:r>
      <w:r w:rsidR="004F5A2E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1</w:t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D93EE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14:paraId="2FAC55D4" w14:textId="77777777" w:rsidR="000D79A1" w:rsidRPr="00D93EEE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D93EEE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14:paraId="0165621D" w14:textId="77777777" w:rsidR="00944C6A" w:rsidRPr="00D93EEE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14:paraId="29719993" w14:textId="0324CACD" w:rsidR="00836C92" w:rsidRPr="00D93EEE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D93EEE">
        <w:rPr>
          <w:rFonts w:eastAsia="Arial"/>
          <w:b/>
        </w:rPr>
        <w:t>Harmonogram d</w:t>
      </w:r>
      <w:r w:rsidR="00836C92" w:rsidRPr="00D93EEE">
        <w:rPr>
          <w:rFonts w:eastAsia="Arial"/>
          <w:b/>
        </w:rPr>
        <w:t>ziałań i obowiązków Wykonawcy (</w:t>
      </w:r>
      <w:proofErr w:type="spellStart"/>
      <w:r w:rsidR="00D93EEE" w:rsidRPr="00D93EEE">
        <w:rPr>
          <w:rFonts w:eastAsia="Arial"/>
          <w:b/>
        </w:rPr>
        <w:t>Pharmacovigilance</w:t>
      </w:r>
      <w:proofErr w:type="spellEnd"/>
      <w:r w:rsidR="00836C92" w:rsidRPr="00D93EEE">
        <w:rPr>
          <w:rFonts w:eastAsia="Arial"/>
          <w:b/>
        </w:rPr>
        <w:t>)</w:t>
      </w:r>
    </w:p>
    <w:p w14:paraId="061D683C" w14:textId="77777777" w:rsidR="00D9001F" w:rsidRPr="00D93EEE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4F5A2E" w:rsidRPr="004F5A2E" w14:paraId="48386F78" w14:textId="77777777" w:rsidTr="00FB17E3">
        <w:tc>
          <w:tcPr>
            <w:tcW w:w="2829" w:type="dxa"/>
          </w:tcPr>
          <w:p w14:paraId="31347DE2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0" w:name="_Hlk35436903"/>
            <w:r w:rsidRPr="0031075E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14:paraId="45CE0C26" w14:textId="77777777" w:rsidR="000944C6" w:rsidRPr="0031075E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CB4E31D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14:paraId="12798E7A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  <w:b/>
                <w:u w:val="single"/>
              </w:rPr>
              <w:t>Termin rozpoczęcia zadania</w:t>
            </w:r>
          </w:p>
          <w:p w14:paraId="5C5BA7F9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31075E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14:paraId="4347EA80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  <w:b/>
                <w:u w:val="single"/>
              </w:rPr>
              <w:t>Termin realizacji zadania</w:t>
            </w:r>
          </w:p>
          <w:p w14:paraId="38FC11AF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31075E">
              <w:rPr>
                <w:rFonts w:eastAsia="Arial"/>
              </w:rPr>
              <w:t>(w dniach/</w:t>
            </w:r>
          </w:p>
          <w:p w14:paraId="393F309B" w14:textId="77777777" w:rsidR="000944C6" w:rsidRPr="0031075E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</w:rPr>
              <w:t>tygodniach)</w:t>
            </w:r>
          </w:p>
        </w:tc>
      </w:tr>
      <w:tr w:rsidR="004F5A2E" w:rsidRPr="004F5A2E" w14:paraId="6215A553" w14:textId="77777777" w:rsidTr="000944C6">
        <w:tc>
          <w:tcPr>
            <w:tcW w:w="2829" w:type="dxa"/>
          </w:tcPr>
          <w:p w14:paraId="38191B2C" w14:textId="77777777" w:rsidR="00A740F1" w:rsidRPr="0031075E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14:paraId="363432E3" w14:textId="77777777" w:rsidR="00A740F1" w:rsidRPr="0031075E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B910862" w14:textId="77777777" w:rsidR="00A740F1" w:rsidRPr="0031075E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14:paraId="55FB49E1" w14:textId="77777777" w:rsidR="000944C6" w:rsidRPr="0031075E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14:paraId="244E1202" w14:textId="77777777" w:rsidR="000944C6" w:rsidRPr="0031075E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5</w:t>
            </w:r>
          </w:p>
        </w:tc>
      </w:tr>
      <w:bookmarkEnd w:id="0"/>
      <w:tr w:rsidR="004F5A2E" w:rsidRPr="004F5A2E" w14:paraId="29644E6A" w14:textId="77777777" w:rsidTr="0031075E">
        <w:trPr>
          <w:trHeight w:val="297"/>
        </w:trPr>
        <w:tc>
          <w:tcPr>
            <w:tcW w:w="2829" w:type="dxa"/>
          </w:tcPr>
          <w:p w14:paraId="7E787A98" w14:textId="2A1A01AE" w:rsidR="00A740F1" w:rsidRPr="0031075E" w:rsidRDefault="003C41F9" w:rsidP="000D4122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u w:val="single"/>
              </w:rPr>
            </w:pPr>
            <w:r w:rsidRPr="0031075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Etap I: Opracowanie protokołu badania klinicznego 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F041D2A" w14:textId="6A1D036B" w:rsidR="00A740F1" w:rsidRPr="0031075E" w:rsidRDefault="00A740F1" w:rsidP="000D4122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F85" w14:textId="078954EC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428CD2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C530E9C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73BF62AD" w14:textId="77777777" w:rsidTr="0031075E">
        <w:trPr>
          <w:trHeight w:val="294"/>
        </w:trPr>
        <w:tc>
          <w:tcPr>
            <w:tcW w:w="2829" w:type="dxa"/>
          </w:tcPr>
          <w:p w14:paraId="79FD155C" w14:textId="214D051D" w:rsidR="00A740F1" w:rsidRPr="0031075E" w:rsidRDefault="002476E4" w:rsidP="000D4122">
            <w:pPr>
              <w:pStyle w:val="Style"/>
              <w:rPr>
                <w:rFonts w:eastAsia="Arial"/>
                <w:b/>
                <w:u w:val="single"/>
              </w:rPr>
            </w:pPr>
            <w:bookmarkStart w:id="1" w:name="_Hlk35436691"/>
            <w:r w:rsidRPr="0031075E">
              <w:rPr>
                <w:rFonts w:eastAsia="Arial"/>
                <w:b/>
              </w:rPr>
              <w:t xml:space="preserve">Etap II a:   Inicjowanie badania klinicznego 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D297197" w14:textId="2E370C85" w:rsidR="00A740F1" w:rsidRPr="0031075E" w:rsidRDefault="00A740F1" w:rsidP="000D4122">
            <w:pPr>
              <w:pStyle w:val="Style"/>
              <w:tabs>
                <w:tab w:val="left" w:pos="851"/>
              </w:tabs>
              <w:spacing w:before="13"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1C5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05DC6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7E5537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7314AD79" w14:textId="77777777" w:rsidTr="0031075E">
        <w:trPr>
          <w:trHeight w:val="316"/>
        </w:trPr>
        <w:tc>
          <w:tcPr>
            <w:tcW w:w="2829" w:type="dxa"/>
          </w:tcPr>
          <w:p w14:paraId="614421EC" w14:textId="22C9F54A" w:rsidR="00FB79FA" w:rsidRPr="0031075E" w:rsidRDefault="001A3848" w:rsidP="000D4122">
            <w:pPr>
              <w:pStyle w:val="Style"/>
            </w:pPr>
            <w:r w:rsidRPr="0031075E">
              <w:rPr>
                <w:rFonts w:eastAsia="Arial"/>
                <w:b/>
              </w:rPr>
              <w:t xml:space="preserve">Etap II b: Inicjowanie badania klinicznego 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D63F4B" w14:textId="32410527" w:rsidR="00FB79FA" w:rsidRPr="0031075E" w:rsidRDefault="00FB79FA" w:rsidP="000D4122">
            <w:pPr>
              <w:pStyle w:val="Style"/>
              <w:spacing w:before="13"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94" w14:textId="77777777" w:rsidR="00FB79FA" w:rsidRPr="0031075E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D681A9" w14:textId="77777777" w:rsidR="00FB79FA" w:rsidRPr="0031075E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538E779" w14:textId="77777777" w:rsidR="00FB79FA" w:rsidRPr="0031075E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422116DD" w14:textId="77777777" w:rsidTr="000944C6">
        <w:tc>
          <w:tcPr>
            <w:tcW w:w="2829" w:type="dxa"/>
            <w:vMerge w:val="restart"/>
          </w:tcPr>
          <w:p w14:paraId="1587695A" w14:textId="38D3E3DC" w:rsidR="00A740F1" w:rsidRPr="0031075E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31075E">
              <w:rPr>
                <w:rFonts w:eastAsia="Arial"/>
                <w:b/>
              </w:rPr>
              <w:t xml:space="preserve">Etap III:  Przeprowadzenie i monitorowanie badania klinicznego </w:t>
            </w:r>
          </w:p>
          <w:p w14:paraId="06E16416" w14:textId="77777777" w:rsidR="001A3848" w:rsidRPr="0031075E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14:paraId="56B49DCF" w14:textId="41782D14" w:rsidR="00A740F1" w:rsidRPr="0031075E" w:rsidRDefault="005A7C1E" w:rsidP="001B1011">
            <w:pPr>
              <w:pStyle w:val="Styl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</w:rPr>
              <w:t xml:space="preserve">Etap może rozpocząć się pod warunkiem uprzedniego uzyskania pozytywnej opinii Komisji Bioetycznej na prowadzenie prac w ramach badania i uzyskanie zezwolenia na rozpoczęcie badania </w:t>
            </w:r>
            <w:r w:rsidRPr="0031075E">
              <w:rPr>
                <w:rFonts w:eastAsia="Arial"/>
              </w:rPr>
              <w:lastRenderedPageBreak/>
              <w:t xml:space="preserve">klinicznego z URPL. 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A16F60C" w14:textId="77777777" w:rsidR="00A740F1" w:rsidRPr="0031075E" w:rsidRDefault="00A740F1" w:rsidP="005A7C1E">
            <w:pPr>
              <w:pStyle w:val="Style"/>
              <w:spacing w:before="9"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120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A05784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EE429B6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3D887EE6" w14:textId="77777777" w:rsidTr="000944C6">
        <w:tc>
          <w:tcPr>
            <w:tcW w:w="2829" w:type="dxa"/>
            <w:vMerge/>
          </w:tcPr>
          <w:p w14:paraId="0A76FDEC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79CA10B" w14:textId="77777777" w:rsidR="00A740F1" w:rsidRPr="0031075E" w:rsidRDefault="002C3C58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>Pełnienie usługi Osoby Odpowiedzialnej za Monitorowanie Działań Niepożądanych (</w:t>
            </w:r>
            <w:proofErr w:type="spellStart"/>
            <w:r w:rsidRPr="0031075E">
              <w:t>Responsible</w:t>
            </w:r>
            <w:proofErr w:type="spellEnd"/>
            <w:r w:rsidRPr="0031075E">
              <w:t xml:space="preserve"> Person) oraz zastępcy (dane tej osoby powinny być wpisane w protokół badania):</w:t>
            </w:r>
          </w:p>
          <w:p w14:paraId="3D49C043" w14:textId="77777777" w:rsidR="000D4122" w:rsidRDefault="000D4122" w:rsidP="002C3C58">
            <w:pPr>
              <w:pStyle w:val="Style"/>
              <w:spacing w:line="269" w:lineRule="exact"/>
              <w:ind w:left="426"/>
              <w:textAlignment w:val="baseline"/>
            </w:pPr>
          </w:p>
          <w:p w14:paraId="11F7EDDA" w14:textId="42BF3B11" w:rsidR="002C3C58" w:rsidRPr="0031075E" w:rsidRDefault="002C3C58" w:rsidP="002C3C58">
            <w:pPr>
              <w:pStyle w:val="Style"/>
              <w:spacing w:line="269" w:lineRule="exact"/>
              <w:ind w:left="426"/>
              <w:textAlignment w:val="baseline"/>
            </w:pPr>
            <w:r w:rsidRPr="0031075E">
              <w:t xml:space="preserve">Do obowiązków </w:t>
            </w:r>
            <w:proofErr w:type="spellStart"/>
            <w:r w:rsidRPr="0031075E">
              <w:t>Responsible</w:t>
            </w:r>
            <w:proofErr w:type="spellEnd"/>
            <w:r w:rsidRPr="0031075E">
              <w:t xml:space="preserve"> Person będzie należeć nadzór nad bezpieczeństwem stosowania badanego produktu leczniczego oraz udzielanie odpowiedzi na zapytania badaczy.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0A0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E299F50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D19D3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03D1CEFA" w14:textId="77777777" w:rsidTr="000944C6">
        <w:tc>
          <w:tcPr>
            <w:tcW w:w="2829" w:type="dxa"/>
            <w:vMerge/>
          </w:tcPr>
          <w:p w14:paraId="3879216F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A047E09" w14:textId="2B970D70" w:rsidR="00A740F1" w:rsidRPr="0031075E" w:rsidRDefault="002C3C58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 xml:space="preserve">Rejestracja firmy i produktu w bazie </w:t>
            </w:r>
            <w:proofErr w:type="spellStart"/>
            <w:r w:rsidRPr="0031075E">
              <w:t>Eudravigilance</w:t>
            </w:r>
            <w:proofErr w:type="spellEnd"/>
            <w:r w:rsidRPr="0031075E">
              <w:t xml:space="preserve"> oraz aktualizacja tych danych jeżeli będzie to wymagane.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986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90293BE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2EAC69B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14EBB9EA" w14:textId="77777777" w:rsidTr="000944C6">
        <w:tc>
          <w:tcPr>
            <w:tcW w:w="2829" w:type="dxa"/>
            <w:vMerge/>
          </w:tcPr>
          <w:p w14:paraId="22FDF5CF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3CBDE62" w14:textId="2791CF5B" w:rsidR="00A740F1" w:rsidRPr="0031075E" w:rsidRDefault="002C3C58" w:rsidP="00E17F7C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</w:pPr>
            <w:r w:rsidRPr="0031075E">
              <w:t>Odbieranie informacji odnośnie działań/zdarzeń niepożądanych od badacza w ustalonym formacie np. papierowo/w formacie ECFR (</w:t>
            </w:r>
            <w:proofErr w:type="spellStart"/>
            <w:r w:rsidRPr="0031075E">
              <w:t>electronic</w:t>
            </w:r>
            <w:proofErr w:type="spellEnd"/>
            <w:r w:rsidRPr="0031075E">
              <w:t xml:space="preserve"> </w:t>
            </w:r>
            <w:proofErr w:type="spellStart"/>
            <w:r w:rsidRPr="0031075E">
              <w:t>Clinical</w:t>
            </w:r>
            <w:proofErr w:type="spellEnd"/>
            <w:r w:rsidRPr="0031075E">
              <w:t xml:space="preserve"> Report Form).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2D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6EF4BE1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53ECA82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287F3EC7" w14:textId="77777777" w:rsidTr="000944C6">
        <w:tc>
          <w:tcPr>
            <w:tcW w:w="2829" w:type="dxa"/>
            <w:vMerge/>
          </w:tcPr>
          <w:p w14:paraId="324813EF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2318E12" w14:textId="188AAED6" w:rsidR="00A740F1" w:rsidRPr="0031075E" w:rsidRDefault="002C3C58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31075E">
              <w:t xml:space="preserve">Określenie </w:t>
            </w:r>
            <w:proofErr w:type="spellStart"/>
            <w:r w:rsidRPr="0031075E">
              <w:t>spodziewalności</w:t>
            </w:r>
            <w:proofErr w:type="spellEnd"/>
            <w:r w:rsidRPr="0031075E">
              <w:t>, związku przyczynowo skutkowego ciężkości działania/zdarzenia niepożądanego.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EA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EC929A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3C0DA30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50029FB1" w14:textId="77777777" w:rsidTr="000944C6">
        <w:tc>
          <w:tcPr>
            <w:tcW w:w="2829" w:type="dxa"/>
            <w:vMerge/>
          </w:tcPr>
          <w:p w14:paraId="34981BE1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0042A0B" w14:textId="57A98873" w:rsidR="00A740F1" w:rsidRPr="0031075E" w:rsidRDefault="002C3C58" w:rsidP="002C3C58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  <w:rPr>
                <w:rFonts w:eastAsia="Arial"/>
              </w:rPr>
            </w:pPr>
            <w:r w:rsidRPr="0031075E">
              <w:rPr>
                <w:rFonts w:eastAsia="Arial"/>
              </w:rPr>
              <w:t xml:space="preserve">Kodowanie językiem </w:t>
            </w:r>
            <w:proofErr w:type="spellStart"/>
            <w:r w:rsidRPr="0031075E">
              <w:rPr>
                <w:rFonts w:eastAsia="Arial"/>
              </w:rPr>
              <w:t>MedDRA</w:t>
            </w:r>
            <w:proofErr w:type="spellEnd"/>
            <w:r w:rsidRPr="0031075E">
              <w:rPr>
                <w:rFonts w:eastAsia="Arial"/>
              </w:rPr>
              <w:t xml:space="preserve"> zgłoszeń działań niepożądanych w bazie </w:t>
            </w:r>
            <w:proofErr w:type="spellStart"/>
            <w:r w:rsidRPr="0031075E">
              <w:rPr>
                <w:rFonts w:eastAsia="Arial"/>
              </w:rPr>
              <w:t>Euravigilance</w:t>
            </w:r>
            <w:proofErr w:type="spellEnd"/>
            <w:r w:rsidRPr="0031075E">
              <w:rPr>
                <w:rFonts w:eastAsia="Arial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A0B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1670DDE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98BB746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7913F8CC" w14:textId="77777777" w:rsidTr="000944C6">
        <w:tc>
          <w:tcPr>
            <w:tcW w:w="2829" w:type="dxa"/>
            <w:vMerge/>
          </w:tcPr>
          <w:p w14:paraId="0FB52A09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41A61DA" w14:textId="53E9A69C" w:rsidR="00A740F1" w:rsidRPr="0031075E" w:rsidRDefault="002C3C58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7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Podejmowanie </w:t>
            </w:r>
            <w:proofErr w:type="spellStart"/>
            <w:r w:rsidRPr="0031075E">
              <w:rPr>
                <w:rFonts w:ascii="Times New Roman" w:eastAsia="Arial" w:hAnsi="Times New Roman" w:cs="Times New Roman"/>
                <w:sz w:val="24"/>
                <w:szCs w:val="24"/>
              </w:rPr>
              <w:t>follow-up</w:t>
            </w:r>
            <w:proofErr w:type="spellEnd"/>
            <w:r w:rsidRPr="003107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przypadku niekompletnych raportów.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61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E43DDF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CA6E10A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1313DB82" w14:textId="77777777" w:rsidTr="000944C6">
        <w:tc>
          <w:tcPr>
            <w:tcW w:w="2829" w:type="dxa"/>
            <w:vMerge/>
          </w:tcPr>
          <w:p w14:paraId="0E3CA4D8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8CBA53" w14:textId="4F882B8E" w:rsidR="00A740F1" w:rsidRPr="0031075E" w:rsidRDefault="002C3C58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 xml:space="preserve">Przygotowanie </w:t>
            </w:r>
            <w:proofErr w:type="spellStart"/>
            <w:r w:rsidRPr="0031075E">
              <w:t>Safety</w:t>
            </w:r>
            <w:proofErr w:type="spellEnd"/>
            <w:r w:rsidRPr="0031075E">
              <w:t xml:space="preserve"> Management Plan.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368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E250425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D1CC08E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34BEF018" w14:textId="77777777" w:rsidTr="000944C6">
        <w:tc>
          <w:tcPr>
            <w:tcW w:w="2829" w:type="dxa"/>
            <w:vMerge/>
          </w:tcPr>
          <w:p w14:paraId="7BD8CE7C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765718" w14:textId="1CEACA3F" w:rsidR="00A740F1" w:rsidRPr="0031075E" w:rsidRDefault="0031075E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 xml:space="preserve">Raportowanie </w:t>
            </w:r>
            <w:proofErr w:type="spellStart"/>
            <w:r w:rsidRPr="0031075E">
              <w:t>SUSARs</w:t>
            </w:r>
            <w:proofErr w:type="spellEnd"/>
            <w:r w:rsidRPr="0031075E">
              <w:t xml:space="preserve"> do </w:t>
            </w:r>
            <w:proofErr w:type="spellStart"/>
            <w:r w:rsidRPr="0031075E">
              <w:t>EudraVigilance</w:t>
            </w:r>
            <w:proofErr w:type="spellEnd"/>
            <w:r w:rsidRPr="0031075E">
              <w:t xml:space="preserve"> - przygotowanie i przesianie zgłoszeń działań niepożądanych do odpowiedniego Organu Władzy, badacza oraz Komisji Bioetycznej.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ADD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3C57D4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A63E11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18C61A63" w14:textId="77777777" w:rsidTr="000944C6">
        <w:tc>
          <w:tcPr>
            <w:tcW w:w="2829" w:type="dxa"/>
            <w:vMerge/>
          </w:tcPr>
          <w:p w14:paraId="1C0DA02A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1C61DC2" w14:textId="12E83E44" w:rsidR="00A740F1" w:rsidRPr="0031075E" w:rsidRDefault="0031075E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>Raportowanie do odpowiednich organów w kwestii bezpieczeństwa, które nie spełniają definicji SUSAR.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A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FC419E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122A2A3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5A87D14C" w14:textId="77777777" w:rsidTr="000944C6">
        <w:tc>
          <w:tcPr>
            <w:tcW w:w="2829" w:type="dxa"/>
            <w:vMerge/>
          </w:tcPr>
          <w:p w14:paraId="02EF1346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8C30699" w14:textId="3C0DF17C" w:rsidR="00A740F1" w:rsidRPr="0031075E" w:rsidRDefault="0031075E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>Zbieranie raportów dotyczących bezpieczeństwa nie spełniających definicji SUSAR, czyli ciężkich zdarzeń niepożądanych, znanych ciężkich działań niepożądanych.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ED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C37244A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A780C97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1A58AD58" w14:textId="77777777" w:rsidTr="000944C6">
        <w:tc>
          <w:tcPr>
            <w:tcW w:w="2829" w:type="dxa"/>
            <w:vMerge/>
          </w:tcPr>
          <w:p w14:paraId="70ED158B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26058ED" w14:textId="4E18B867" w:rsidR="007C5C3A" w:rsidRPr="0031075E" w:rsidRDefault="0031075E" w:rsidP="007C5C3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31075E">
              <w:t xml:space="preserve">Przygotowanie rocznego raportu DSUR (development </w:t>
            </w:r>
            <w:proofErr w:type="spellStart"/>
            <w:r w:rsidRPr="0031075E">
              <w:t>Safety</w:t>
            </w:r>
            <w:proofErr w:type="spellEnd"/>
            <w:r w:rsidRPr="0031075E">
              <w:t xml:space="preserve"> Update Report) składanie go do URPL i komisji bioetycznej w odpowiednich terminach.</w:t>
            </w:r>
            <w:bookmarkStart w:id="2" w:name="_GoBack"/>
            <w:bookmarkEnd w:id="2"/>
          </w:p>
        </w:tc>
        <w:tc>
          <w:tcPr>
            <w:tcW w:w="1830" w:type="dxa"/>
          </w:tcPr>
          <w:p w14:paraId="5540576F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20672746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05A7C20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640AC472" w14:textId="77777777" w:rsidTr="000944C6">
        <w:tc>
          <w:tcPr>
            <w:tcW w:w="2829" w:type="dxa"/>
            <w:vMerge/>
          </w:tcPr>
          <w:p w14:paraId="56FEDB04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0A24FE53" w14:textId="38E34FC8" w:rsidR="00A740F1" w:rsidRPr="0031075E" w:rsidRDefault="007C5C3A" w:rsidP="007C5C3A">
            <w:pPr>
              <w:pStyle w:val="Style"/>
              <w:numPr>
                <w:ilvl w:val="0"/>
                <w:numId w:val="7"/>
              </w:numPr>
              <w:spacing w:line="0" w:lineRule="atLeast"/>
              <w:textAlignment w:val="baseline"/>
            </w:pPr>
            <w:r w:rsidRPr="007C5C3A">
              <w:t xml:space="preserve">Przygotowywanie </w:t>
            </w:r>
            <w:proofErr w:type="spellStart"/>
            <w:r w:rsidRPr="007C5C3A">
              <w:t>Narrative</w:t>
            </w:r>
            <w:proofErr w:type="spellEnd"/>
            <w:r w:rsidRPr="007C5C3A">
              <w:t>.</w:t>
            </w:r>
          </w:p>
        </w:tc>
        <w:tc>
          <w:tcPr>
            <w:tcW w:w="1830" w:type="dxa"/>
          </w:tcPr>
          <w:p w14:paraId="483D6FC6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77F5CC8D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2BB54452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0EDDE107" w14:textId="77777777" w:rsidTr="000944C6">
        <w:trPr>
          <w:trHeight w:val="523"/>
        </w:trPr>
        <w:tc>
          <w:tcPr>
            <w:tcW w:w="2829" w:type="dxa"/>
          </w:tcPr>
          <w:p w14:paraId="0E0BF8A5" w14:textId="77777777" w:rsidR="00A740F1" w:rsidRPr="0031075E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Etap IV - Przeprowadzenie analizy statystycznej wyników badań fazy klinicznej.</w:t>
            </w:r>
          </w:p>
          <w:p w14:paraId="7C4E8E55" w14:textId="3A663EEB" w:rsidR="00A740F1" w:rsidRPr="0031075E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31075E">
              <w:rPr>
                <w:rFonts w:eastAsia="Arial"/>
              </w:rPr>
              <w:t>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CB73C27" w14:textId="45B96B32" w:rsidR="00A740F1" w:rsidRPr="0031075E" w:rsidRDefault="00A740F1" w:rsidP="0031075E">
            <w:pPr>
              <w:pStyle w:val="Style"/>
              <w:spacing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5F3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F9E96C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20AAEBA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4F5A2E" w:rsidRPr="004F5A2E" w14:paraId="5E3244EC" w14:textId="77777777" w:rsidTr="000944C6">
        <w:tc>
          <w:tcPr>
            <w:tcW w:w="2829" w:type="dxa"/>
          </w:tcPr>
          <w:p w14:paraId="75D28E1A" w14:textId="77777777" w:rsidR="00A740F1" w:rsidRPr="0031075E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3" w:name="_Hlk38367541"/>
            <w:r w:rsidRPr="0031075E">
              <w:rPr>
                <w:b/>
              </w:rPr>
              <w:t>Inne działania:</w:t>
            </w:r>
          </w:p>
          <w:p w14:paraId="29A26BFD" w14:textId="77777777" w:rsidR="00A740F1" w:rsidRPr="0031075E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7159C28" w14:textId="423B65DE" w:rsidR="00A740F1" w:rsidRPr="0031075E" w:rsidRDefault="00A740F1" w:rsidP="0031075E">
            <w:pPr>
              <w:pStyle w:val="Style"/>
              <w:spacing w:before="4" w:line="264" w:lineRule="exact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CCD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404AF3E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2C3D794" w14:textId="77777777" w:rsidR="00A740F1" w:rsidRPr="0031075E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3"/>
      <w:bookmarkEnd w:id="1"/>
      <w:tr w:rsidR="00BD0EF0" w:rsidRPr="0031075E" w14:paraId="73F82410" w14:textId="77777777" w:rsidTr="004763B9">
        <w:tc>
          <w:tcPr>
            <w:tcW w:w="10641" w:type="dxa"/>
            <w:gridSpan w:val="2"/>
          </w:tcPr>
          <w:p w14:paraId="621CC065" w14:textId="77777777" w:rsidR="00BD0EF0" w:rsidRPr="0031075E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31075E">
              <w:rPr>
                <w:b/>
              </w:rPr>
              <w:t>RAZEM</w:t>
            </w:r>
          </w:p>
          <w:p w14:paraId="040DDAA8" w14:textId="77777777" w:rsidR="00BD0EF0" w:rsidRPr="0031075E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31075E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14:paraId="228A0B17" w14:textId="77777777" w:rsidR="00BD0EF0" w:rsidRPr="0031075E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14:paraId="24D843B4" w14:textId="77777777" w:rsidR="00BD0EF0" w:rsidRPr="0031075E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14:paraId="17AA1BC5" w14:textId="77777777" w:rsidR="00BD0EF0" w:rsidRPr="0031075E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31075E">
              <w:rPr>
                <w:rFonts w:eastAsia="Arial"/>
                <w:b/>
              </w:rPr>
              <w:t>---</w:t>
            </w:r>
          </w:p>
        </w:tc>
      </w:tr>
    </w:tbl>
    <w:p w14:paraId="118C6F4E" w14:textId="77777777" w:rsidR="0018366D" w:rsidRPr="0031075E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14:paraId="5396AF9E" w14:textId="26DC2D4D" w:rsidR="00BA4E06" w:rsidRPr="0031075E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31075E">
        <w:rPr>
          <w:rFonts w:eastAsia="Arial"/>
          <w:b/>
        </w:rPr>
        <w:t>Kwotę z kolumny 3 należy przenieść do formularza ofertowego</w:t>
      </w:r>
      <w:r w:rsidR="000D79A1" w:rsidRPr="0031075E">
        <w:rPr>
          <w:rFonts w:eastAsia="Arial"/>
          <w:b/>
        </w:rPr>
        <w:t xml:space="preserve"> (załącznik nr </w:t>
      </w:r>
      <w:r w:rsidR="000D4122">
        <w:rPr>
          <w:rFonts w:eastAsia="Arial"/>
          <w:b/>
        </w:rPr>
        <w:t>2</w:t>
      </w:r>
      <w:r w:rsidR="000D79A1" w:rsidRPr="0031075E">
        <w:rPr>
          <w:rFonts w:eastAsia="Arial"/>
          <w:b/>
        </w:rPr>
        <w:t>)</w:t>
      </w:r>
      <w:r w:rsidRPr="0031075E">
        <w:rPr>
          <w:rFonts w:eastAsia="Arial"/>
          <w:b/>
        </w:rPr>
        <w:t xml:space="preserve"> na str</w:t>
      </w:r>
      <w:r w:rsidR="00573E5B" w:rsidRPr="0031075E">
        <w:rPr>
          <w:rFonts w:eastAsia="Arial"/>
          <w:b/>
        </w:rPr>
        <w:t>.</w:t>
      </w:r>
      <w:r w:rsidRPr="0031075E">
        <w:rPr>
          <w:rFonts w:eastAsia="Arial"/>
          <w:b/>
        </w:rPr>
        <w:t xml:space="preserve"> 2.</w:t>
      </w:r>
    </w:p>
    <w:p w14:paraId="56DC27A6" w14:textId="77777777" w:rsidR="00EB4477" w:rsidRPr="004F5A2E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color w:val="00B050"/>
          <w:w w:val="80"/>
        </w:rPr>
      </w:pPr>
      <w:bookmarkStart w:id="4" w:name="_Hlk34399020"/>
      <w:r w:rsidRPr="004F5A2E">
        <w:rPr>
          <w:rFonts w:eastAsia="Arial"/>
          <w:color w:val="00B050"/>
          <w:w w:val="80"/>
        </w:rPr>
        <w:tab/>
      </w:r>
    </w:p>
    <w:p w14:paraId="56E9F0AE" w14:textId="77777777" w:rsidR="00A740F1" w:rsidRPr="004F5A2E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color w:val="00B050"/>
        </w:rPr>
      </w:pPr>
    </w:p>
    <w:bookmarkEnd w:id="4"/>
    <w:sectPr w:rsidR="00A740F1" w:rsidRPr="004F5A2E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27D" w14:textId="77777777" w:rsidR="00944C6A" w:rsidRDefault="00944C6A" w:rsidP="00944C6A">
      <w:r>
        <w:separator/>
      </w:r>
    </w:p>
  </w:endnote>
  <w:endnote w:type="continuationSeparator" w:id="0">
    <w:p w14:paraId="258C668B" w14:textId="77777777" w:rsidR="00944C6A" w:rsidRDefault="00944C6A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A980" w14:textId="77777777" w:rsidR="00944C6A" w:rsidRDefault="00944C6A" w:rsidP="00944C6A">
      <w:r>
        <w:separator/>
      </w:r>
    </w:p>
  </w:footnote>
  <w:footnote w:type="continuationSeparator" w:id="0">
    <w:p w14:paraId="6C26024C" w14:textId="77777777" w:rsidR="00944C6A" w:rsidRDefault="00944C6A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2DB" w14:textId="77777777" w:rsidR="00944C6A" w:rsidRDefault="00944C6A">
    <w:pPr>
      <w:pStyle w:val="Nagwek"/>
    </w:pPr>
  </w:p>
  <w:p w14:paraId="4873B60A" w14:textId="60BD01A2"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A366E6">
      <w:rPr>
        <w:rFonts w:ascii="Calibri" w:eastAsia="Times New Roman" w:hAnsi="Calibri" w:cs="Times New Roman"/>
        <w:b/>
        <w:lang w:val="pl-PL" w:eastAsia="pl-PL"/>
      </w:rPr>
      <w:t>1</w:t>
    </w:r>
    <w:r w:rsidR="00D93EEE">
      <w:rPr>
        <w:rFonts w:ascii="Calibri" w:eastAsia="Times New Roman" w:hAnsi="Calibri" w:cs="Times New Roman"/>
        <w:b/>
        <w:lang w:val="pl-PL" w:eastAsia="pl-PL"/>
      </w:rPr>
      <w:t>0</w:t>
    </w:r>
    <w:r w:rsidRPr="00944C6A">
      <w:rPr>
        <w:rFonts w:ascii="Calibri" w:eastAsia="Times New Roman" w:hAnsi="Calibri" w:cs="Times New Roman"/>
        <w:b/>
        <w:lang w:val="pl-PL" w:eastAsia="pl-PL"/>
      </w:rPr>
      <w:t>.202</w:t>
    </w:r>
    <w:r w:rsidR="004F5A2E">
      <w:rPr>
        <w:rFonts w:ascii="Calibri" w:eastAsia="Times New Roman" w:hAnsi="Calibri" w:cs="Times New Roman"/>
        <w:b/>
        <w:lang w:val="pl-PL" w:eastAsia="pl-PL"/>
      </w:rPr>
      <w:t>1</w:t>
    </w:r>
    <w:r w:rsidRPr="00944C6A">
      <w:rPr>
        <w:rFonts w:ascii="Calibri" w:eastAsia="Times New Roman" w:hAnsi="Calibri" w:cs="Times New Roman"/>
        <w:b/>
        <w:lang w:val="pl-PL" w:eastAsia="pl-PL"/>
      </w:rPr>
      <w:t>.</w:t>
    </w:r>
  </w:p>
  <w:p w14:paraId="1A1B663E" w14:textId="77777777"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F0146"/>
    <w:multiLevelType w:val="hybridMultilevel"/>
    <w:tmpl w:val="6F8A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4122"/>
    <w:rsid w:val="000D79A1"/>
    <w:rsid w:val="00101C86"/>
    <w:rsid w:val="00151642"/>
    <w:rsid w:val="0018366D"/>
    <w:rsid w:val="001A0A5A"/>
    <w:rsid w:val="001A3848"/>
    <w:rsid w:val="001B1011"/>
    <w:rsid w:val="001E3214"/>
    <w:rsid w:val="00235792"/>
    <w:rsid w:val="002476E4"/>
    <w:rsid w:val="0026375D"/>
    <w:rsid w:val="00273EFA"/>
    <w:rsid w:val="002C3C58"/>
    <w:rsid w:val="002D6AEA"/>
    <w:rsid w:val="002E77A3"/>
    <w:rsid w:val="002F70BF"/>
    <w:rsid w:val="003032EC"/>
    <w:rsid w:val="00306346"/>
    <w:rsid w:val="0031075E"/>
    <w:rsid w:val="00333844"/>
    <w:rsid w:val="00374D62"/>
    <w:rsid w:val="00393AF9"/>
    <w:rsid w:val="003A2B1C"/>
    <w:rsid w:val="003A377B"/>
    <w:rsid w:val="003C41F9"/>
    <w:rsid w:val="003D5968"/>
    <w:rsid w:val="003E4FFD"/>
    <w:rsid w:val="00401F57"/>
    <w:rsid w:val="00410932"/>
    <w:rsid w:val="00436141"/>
    <w:rsid w:val="004470BD"/>
    <w:rsid w:val="00460A70"/>
    <w:rsid w:val="00493C4B"/>
    <w:rsid w:val="004D34A6"/>
    <w:rsid w:val="004F5A2E"/>
    <w:rsid w:val="00512C5A"/>
    <w:rsid w:val="00541A7D"/>
    <w:rsid w:val="005678AD"/>
    <w:rsid w:val="00573E5B"/>
    <w:rsid w:val="0059475B"/>
    <w:rsid w:val="005A7C1E"/>
    <w:rsid w:val="005C4050"/>
    <w:rsid w:val="0061337F"/>
    <w:rsid w:val="00677863"/>
    <w:rsid w:val="006F1D8A"/>
    <w:rsid w:val="00736645"/>
    <w:rsid w:val="00750E8A"/>
    <w:rsid w:val="00775245"/>
    <w:rsid w:val="00786991"/>
    <w:rsid w:val="00794E31"/>
    <w:rsid w:val="007B7000"/>
    <w:rsid w:val="007B7F83"/>
    <w:rsid w:val="007C5C3A"/>
    <w:rsid w:val="007D69E5"/>
    <w:rsid w:val="00827369"/>
    <w:rsid w:val="00836C92"/>
    <w:rsid w:val="008D4356"/>
    <w:rsid w:val="00944C6A"/>
    <w:rsid w:val="00951032"/>
    <w:rsid w:val="00956FAD"/>
    <w:rsid w:val="00963A5A"/>
    <w:rsid w:val="009A374D"/>
    <w:rsid w:val="00A21BFD"/>
    <w:rsid w:val="00A366E6"/>
    <w:rsid w:val="00A62085"/>
    <w:rsid w:val="00A740F1"/>
    <w:rsid w:val="00A84337"/>
    <w:rsid w:val="00B63A6F"/>
    <w:rsid w:val="00B81DD5"/>
    <w:rsid w:val="00BA4E06"/>
    <w:rsid w:val="00BD0EF0"/>
    <w:rsid w:val="00BF3496"/>
    <w:rsid w:val="00C23F04"/>
    <w:rsid w:val="00C24124"/>
    <w:rsid w:val="00C40B16"/>
    <w:rsid w:val="00C77C07"/>
    <w:rsid w:val="00C80C8C"/>
    <w:rsid w:val="00CF5FA9"/>
    <w:rsid w:val="00CF7E20"/>
    <w:rsid w:val="00D301A8"/>
    <w:rsid w:val="00D3785C"/>
    <w:rsid w:val="00D41E25"/>
    <w:rsid w:val="00D637F6"/>
    <w:rsid w:val="00D75371"/>
    <w:rsid w:val="00D87985"/>
    <w:rsid w:val="00D9001F"/>
    <w:rsid w:val="00D93EEE"/>
    <w:rsid w:val="00E17045"/>
    <w:rsid w:val="00E17D77"/>
    <w:rsid w:val="00E17F7C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089E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1A31-6D64-4521-8E28-B206A625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Krzysztof Małetka</cp:lastModifiedBy>
  <cp:revision>29</cp:revision>
  <dcterms:created xsi:type="dcterms:W3CDTF">2020-10-30T13:17:00Z</dcterms:created>
  <dcterms:modified xsi:type="dcterms:W3CDTF">2021-04-22T14:04:00Z</dcterms:modified>
</cp:coreProperties>
</file>