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A4" w:rsidRPr="009766A9" w:rsidRDefault="009766A9" w:rsidP="009766A9">
      <w:pPr>
        <w:ind w:left="9912" w:firstLine="708"/>
        <w:rPr>
          <w:rFonts w:ascii="Arial" w:hAnsi="Arial" w:cs="Arial"/>
          <w:u w:val="single"/>
        </w:rPr>
      </w:pPr>
      <w:bookmarkStart w:id="0" w:name="_GoBack"/>
      <w:bookmarkEnd w:id="0"/>
      <w:r w:rsidRPr="009766A9">
        <w:rPr>
          <w:rFonts w:ascii="Arial" w:hAnsi="Arial" w:cs="Arial"/>
          <w:u w:val="single"/>
        </w:rPr>
        <w:t>Załącznik nr 2a do SIWZ</w:t>
      </w:r>
      <w:r>
        <w:rPr>
          <w:rFonts w:ascii="Arial" w:hAnsi="Arial" w:cs="Arial"/>
          <w:u w:val="single"/>
        </w:rPr>
        <w:t>/umowy</w:t>
      </w:r>
    </w:p>
    <w:p w:rsidR="00F169A4" w:rsidRDefault="00F169A4"/>
    <w:p w:rsidR="00F169A4" w:rsidRDefault="00F169A4"/>
    <w:p w:rsidR="00F169A4" w:rsidRDefault="00F169A4"/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5203"/>
        <w:gridCol w:w="5443"/>
        <w:gridCol w:w="2268"/>
      </w:tblGrid>
      <w:tr w:rsidR="00CA011A" w:rsidRPr="00463D80" w:rsidTr="00F169A4">
        <w:trPr>
          <w:gridAfter w:val="1"/>
          <w:wAfter w:w="2268" w:type="dxa"/>
          <w:trHeight w:val="801"/>
          <w:jc w:val="center"/>
        </w:trPr>
        <w:tc>
          <w:tcPr>
            <w:tcW w:w="1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011A" w:rsidRPr="00463D80" w:rsidRDefault="00CA011A" w:rsidP="004046C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 xml:space="preserve">Serwer SR2 o minimalnych parametrach jak poniżej – </w:t>
            </w:r>
          </w:p>
          <w:p w:rsidR="00CA011A" w:rsidRPr="00463D80" w:rsidRDefault="00CA011A" w:rsidP="004046C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11A" w:rsidRPr="00186BAB" w:rsidTr="00F169A4">
        <w:trPr>
          <w:trHeight w:val="181"/>
          <w:jc w:val="center"/>
        </w:trPr>
        <w:tc>
          <w:tcPr>
            <w:tcW w:w="6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11A" w:rsidRPr="00186BAB" w:rsidRDefault="00CA011A" w:rsidP="00CA011A">
            <w:r w:rsidRPr="00186BAB">
              <w:t>Minimalne parametry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11A" w:rsidRPr="00463D80" w:rsidRDefault="00CA011A" w:rsidP="00CA01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>Parametry przedmiotu zamówienia oferowanego przez Wykonawcę</w:t>
            </w:r>
          </w:p>
        </w:tc>
        <w:tc>
          <w:tcPr>
            <w:tcW w:w="2268" w:type="dxa"/>
            <w:vAlign w:val="center"/>
          </w:tcPr>
          <w:p w:rsidR="00CA011A" w:rsidRPr="00463D80" w:rsidRDefault="00CA011A" w:rsidP="00CA01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11A" w:rsidRPr="00186BAB" w:rsidTr="00F169A4">
        <w:trPr>
          <w:trHeight w:val="20"/>
          <w:jc w:val="center"/>
        </w:trPr>
        <w:tc>
          <w:tcPr>
            <w:tcW w:w="6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11A" w:rsidRPr="00186BAB" w:rsidRDefault="00CA011A" w:rsidP="00CA011A"/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11A" w:rsidRPr="00463D80" w:rsidRDefault="00CA011A" w:rsidP="00CA01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>Nazwa producenta**:</w:t>
            </w:r>
          </w:p>
          <w:p w:rsidR="00CA011A" w:rsidRPr="00463D80" w:rsidRDefault="00CA011A" w:rsidP="00CA01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>………………………………</w:t>
            </w:r>
          </w:p>
          <w:p w:rsidR="00CA011A" w:rsidRPr="00463D80" w:rsidRDefault="00CA011A" w:rsidP="00CA01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>Typ/model**:</w:t>
            </w:r>
          </w:p>
          <w:p w:rsidR="00CA011A" w:rsidRPr="00463D80" w:rsidRDefault="00CA011A" w:rsidP="00CA01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>………………………………</w:t>
            </w:r>
          </w:p>
        </w:tc>
        <w:tc>
          <w:tcPr>
            <w:tcW w:w="2268" w:type="dxa"/>
            <w:vAlign w:val="center"/>
          </w:tcPr>
          <w:p w:rsidR="00CA011A" w:rsidRPr="00463D80" w:rsidRDefault="00CA011A" w:rsidP="002A6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>Ocena</w:t>
            </w:r>
            <w:r w:rsidR="002A6C90" w:rsidRPr="00463D80">
              <w:rPr>
                <w:rFonts w:ascii="Arial" w:hAnsi="Arial" w:cs="Arial"/>
                <w:b/>
                <w:sz w:val="18"/>
                <w:szCs w:val="18"/>
              </w:rPr>
              <w:t xml:space="preserve"> Zamawiającego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b/>
                <w:color w:val="000000"/>
              </w:rPr>
            </w:pPr>
            <w:bookmarkStart w:id="1" w:name="_Hlk42591287"/>
            <w:r>
              <w:rPr>
                <w:rFonts w:ascii="Arial" w:hAnsi="Arial" w:cs="Arial"/>
              </w:rPr>
              <w:t>Obudowa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Maksymalnie 2U RACK 19 cali (wraz z szynami montażowymi oraz ramieniem do prowadzenia kabli, umożliwiającymi serwisowanie serwera w szafie </w:t>
            </w:r>
            <w:proofErr w:type="spellStart"/>
            <w:r>
              <w:rPr>
                <w:rFonts w:ascii="Arial" w:hAnsi="Arial" w:cs="Arial"/>
              </w:rPr>
              <w:t>rack</w:t>
            </w:r>
            <w:proofErr w:type="spellEnd"/>
            <w:r>
              <w:rPr>
                <w:rFonts w:ascii="Arial" w:hAnsi="Arial" w:cs="Arial"/>
              </w:rPr>
              <w:t xml:space="preserve"> bez wyłączania urządzenia)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F169A4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Procesory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zainstalowania min. 2 procesorów klasy serwerowej,  64 bity, taktowanie min. 2.20GHz, 8 rdzeni, 11MB cache, 9.60GT/s 2UPI, typowe TDP max. 85W, osiągający w testach </w:t>
            </w:r>
            <w:proofErr w:type="spellStart"/>
            <w:r>
              <w:rPr>
                <w:rFonts w:ascii="Arial" w:hAnsi="Arial" w:cs="Arial"/>
              </w:rPr>
              <w:t>PassMark</w:t>
            </w:r>
            <w:proofErr w:type="spellEnd"/>
            <w:r>
              <w:rPr>
                <w:rFonts w:ascii="Arial" w:hAnsi="Arial" w:cs="Arial"/>
              </w:rPr>
              <w:t xml:space="preserve"> CPU </w:t>
            </w:r>
            <w:proofErr w:type="spellStart"/>
            <w:r>
              <w:rPr>
                <w:rFonts w:ascii="Arial" w:hAnsi="Arial" w:cs="Arial"/>
              </w:rPr>
              <w:t>Benchmarks</w:t>
            </w:r>
            <w:proofErr w:type="spellEnd"/>
            <w:r>
              <w:rPr>
                <w:rFonts w:ascii="Arial" w:hAnsi="Arial" w:cs="Arial"/>
              </w:rPr>
              <w:t xml:space="preserve"> wynik nie gorszy niż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13000 </w:t>
            </w:r>
            <w:r>
              <w:rPr>
                <w:rFonts w:ascii="Arial" w:hAnsi="Arial" w:cs="Arial"/>
              </w:rPr>
              <w:t>punktów, dla testu  serwera testowego z 1 procesorem.</w:t>
            </w:r>
          </w:p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zaoferowania procesora równoważnego, wynik testu musi być opublikowany w kolumnie </w:t>
            </w:r>
            <w:proofErr w:type="spellStart"/>
            <w:r>
              <w:rPr>
                <w:rFonts w:ascii="Arial" w:hAnsi="Arial" w:cs="Arial"/>
              </w:rPr>
              <w:t>Passmark</w:t>
            </w:r>
            <w:proofErr w:type="spellEnd"/>
            <w:r>
              <w:rPr>
                <w:rFonts w:ascii="Arial" w:hAnsi="Arial" w:cs="Arial"/>
              </w:rPr>
              <w:t xml:space="preserve"> CPU Mark na stronie </w:t>
            </w:r>
            <w:hyperlink r:id="rId7" w:history="1">
              <w:r>
                <w:rPr>
                  <w:rStyle w:val="Hipercze"/>
                  <w:rFonts w:ascii="Arial" w:hAnsi="Arial" w:cs="Arial"/>
                </w:rPr>
                <w:t>https://www.cpubenchmark.net/cpu_list.php</w:t>
              </w:r>
            </w:hyperlink>
            <w:r>
              <w:rPr>
                <w:rFonts w:ascii="Arial" w:hAnsi="Arial" w:cs="Arial"/>
                <w:color w:val="0000FF"/>
                <w:u w:val="single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 xml:space="preserve">Liczba procesorów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 procesory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Pamięć operacyjna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 256 GB RDIMM DDR4 2666 MT/s w modułach o pojemności min.16GB każdy.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Sloty</w:t>
            </w:r>
            <w:proofErr w:type="spellEnd"/>
            <w:r>
              <w:rPr>
                <w:rFonts w:ascii="Arial" w:hAnsi="Arial" w:cs="Arial"/>
              </w:rPr>
              <w:t xml:space="preserve"> rozszerzeń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najmniej 2 aktywne gniazda PCI-Express x8 generacji 3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Dysk twardy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Zatoki dyskowe gotowe do zainstalowania co najmniej 10 dysków SFF typu Hot </w:t>
            </w:r>
            <w:proofErr w:type="spellStart"/>
            <w:r>
              <w:rPr>
                <w:rFonts w:ascii="Arial" w:hAnsi="Arial" w:cs="Arial"/>
              </w:rPr>
              <w:t>Swap</w:t>
            </w:r>
            <w:proofErr w:type="spellEnd"/>
            <w:r>
              <w:rPr>
                <w:rFonts w:ascii="Arial" w:hAnsi="Arial" w:cs="Arial"/>
              </w:rPr>
              <w:t xml:space="preserve">, SAS/SATA/SSD, 2,5”. </w:t>
            </w:r>
          </w:p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Serwer wyposażony w co najmniej 8 dysków SSD min. 960GB oraz wolnym miejscem na zainstalowanie min. 2 dodatkowych dysków SFF typu Hot </w:t>
            </w:r>
            <w:proofErr w:type="spellStart"/>
            <w:r>
              <w:rPr>
                <w:rFonts w:ascii="Arial" w:hAnsi="Arial" w:cs="Arial"/>
              </w:rPr>
              <w:t>Swap</w:t>
            </w:r>
            <w:proofErr w:type="spellEnd"/>
            <w:r>
              <w:rPr>
                <w:rFonts w:ascii="Arial" w:hAnsi="Arial" w:cs="Arial"/>
              </w:rPr>
              <w:t xml:space="preserve">, SAS/SATA/SSD, 2,5”. 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Kontroler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Serwer wyposażony w kontroler sprzętowy, 2GB cache z mechanizmem podtrzymywania zawartości pamięci cache w razie braku zasilania, zapewniający obsługę 10 napędów dyskowych SSD oraz obsługujący poziomy: RAID 0/1/10/5/50/6/60.</w:t>
            </w:r>
          </w:p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Kontroler umożliwiający pracę z dyskami w trybach RAID i JBOD jednocześnie.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Interfejsy sieciowe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2-portowa karta 10Gb/s SFP+ oraz minimum 2-portowa karta 1Gb/s RJ-45 z funkcją Wake-On-LAN, wsparciem dla PXE, które nie zajmują gniazd </w:t>
            </w:r>
            <w:proofErr w:type="spellStart"/>
            <w:r>
              <w:rPr>
                <w:rFonts w:ascii="Arial" w:hAnsi="Arial" w:cs="Arial"/>
              </w:rPr>
              <w:t>PCIe</w:t>
            </w:r>
            <w:proofErr w:type="spellEnd"/>
            <w:r>
              <w:rPr>
                <w:rFonts w:ascii="Arial" w:hAnsi="Arial" w:cs="Arial"/>
              </w:rPr>
              <w:t xml:space="preserve"> opisanych w sekcji „</w:t>
            </w:r>
            <w:proofErr w:type="spellStart"/>
            <w:r>
              <w:rPr>
                <w:rFonts w:ascii="Arial" w:hAnsi="Arial" w:cs="Arial"/>
              </w:rPr>
              <w:t>Sloty</w:t>
            </w:r>
            <w:proofErr w:type="spellEnd"/>
            <w:r>
              <w:rPr>
                <w:rFonts w:ascii="Arial" w:hAnsi="Arial" w:cs="Arial"/>
              </w:rPr>
              <w:t xml:space="preserve"> rozszerzeń”. Wraz z serwerem należy dostarczyć z 4 wkładkami na każdy serwer (2 wkładki dla serwera, 2 dla przełącznika docelowego).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Karta graficzna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Zintegrowana karta graficzna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Porty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 3 x USB 3.0 (w tym min. 1 wewnętrzny)</w:t>
            </w:r>
          </w:p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najmniej 1 x VGA </w:t>
            </w:r>
          </w:p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Opcjonalnie możliwość rozbudowy o czytnik kart </w:t>
            </w:r>
            <w:proofErr w:type="spellStart"/>
            <w:r>
              <w:rPr>
                <w:rFonts w:ascii="Arial" w:hAnsi="Arial" w:cs="Arial"/>
              </w:rPr>
              <w:t>microSD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Zasilacz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zainstalowania 2 zasilaczy typu Hot-plug.</w:t>
            </w:r>
          </w:p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Zainstalowany min. 1 zasilacz, typu Hot-plug, o mocy max. 750W.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Chłodzenie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Zestaw wentylatorów redundantnych typu hot-plug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Napęd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Możliwość rozbudowy/rekonfiguracji o napęd DVD-ROM lub DVD-RW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Diagnostyka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zainstalowania elektronicznego panelu diagnostycznego dostępnego pozwalającego uzyskać informacje o stanie: procesora, pamięci, wentylatorów, karty sieciowej, zasilaczy, kartach rozszerzeń, temperaturze.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Wsparcie dla systemów operacyjnych i systemów </w:t>
            </w:r>
            <w:proofErr w:type="spellStart"/>
            <w:r>
              <w:rPr>
                <w:rFonts w:ascii="Arial" w:hAnsi="Arial" w:cs="Arial"/>
              </w:rPr>
              <w:t>wirtualizacyjnych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najmniej: Microsoft Windows Server 2016 lub wyższy, Red </w:t>
            </w:r>
            <w:proofErr w:type="spellStart"/>
            <w:r>
              <w:rPr>
                <w:rFonts w:ascii="Arial" w:hAnsi="Arial" w:cs="Arial"/>
              </w:rPr>
              <w:t>Hat</w:t>
            </w:r>
            <w:proofErr w:type="spellEnd"/>
            <w:r>
              <w:rPr>
                <w:rFonts w:ascii="Arial" w:hAnsi="Arial" w:cs="Arial"/>
              </w:rPr>
              <w:t xml:space="preserve"> Enterprise Linux (RHEL) 7.X lub wyższy, SUSE Linux Enterprise Server (SLES) 12 lub wyższy, </w:t>
            </w:r>
            <w:proofErr w:type="spellStart"/>
            <w:r>
              <w:rPr>
                <w:rFonts w:ascii="Arial" w:hAnsi="Arial" w:cs="Arial"/>
              </w:rPr>
              <w:t>VMware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ESXi</w:t>
            </w:r>
            <w:proofErr w:type="spellEnd"/>
            <w:r>
              <w:rPr>
                <w:rFonts w:ascii="Arial" w:hAnsi="Arial" w:cs="Arial"/>
              </w:rPr>
              <w:t xml:space="preserve"> 6.5 oraz U1 i U2 lub wyższy.</w:t>
            </w:r>
          </w:p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Opcjonalnie wsparcie dla: </w:t>
            </w:r>
            <w:proofErr w:type="spellStart"/>
            <w:r>
              <w:rPr>
                <w:rFonts w:ascii="Arial" w:hAnsi="Arial" w:cs="Arial"/>
              </w:rPr>
              <w:t>CentOS</w:t>
            </w:r>
            <w:proofErr w:type="spellEnd"/>
            <w:r>
              <w:rPr>
                <w:rFonts w:ascii="Arial" w:hAnsi="Arial" w:cs="Arial"/>
              </w:rPr>
              <w:t xml:space="preserve"> oraz </w:t>
            </w:r>
            <w:proofErr w:type="spellStart"/>
            <w:r>
              <w:rPr>
                <w:rFonts w:ascii="Arial" w:hAnsi="Arial" w:cs="Arial"/>
                <w:color w:val="000000"/>
              </w:rPr>
              <w:t>Proxmox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Wsparcie techniczne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4" w:rsidRDefault="00F169A4" w:rsidP="00F169A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36 - miesięczna gwarancja producenta w miejscu instalacji. </w:t>
            </w:r>
          </w:p>
          <w:p w:rsidR="00F169A4" w:rsidRDefault="00F169A4" w:rsidP="00F169A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Zgłoszenia przyjmowane w trybie 24x7.</w:t>
            </w:r>
          </w:p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reakcji – 4 godziny od zgłoszenia. </w:t>
            </w:r>
          </w:p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Wsparcie techniczne realizowane jest przez serwis producenta oferowanego serwera.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186BAB" w:rsidTr="000B05A9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4" w:rsidRDefault="00F169A4" w:rsidP="00F169A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Oferowany sprzęt pochodzi z oficjalnego kanału dystrybucyjnego producenta.</w:t>
            </w:r>
          </w:p>
          <w:p w:rsidR="00F169A4" w:rsidRDefault="00F169A4" w:rsidP="00F169A4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Oferowany sprzęt jest produkowany zgodnie z normami ISO 9001 oraz ISO 14001.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186BAB" w:rsidRDefault="00F169A4" w:rsidP="00F169A4"/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bookmarkEnd w:id="1"/>
    </w:tbl>
    <w:p w:rsidR="0038479B" w:rsidRDefault="0038479B"/>
    <w:p w:rsidR="00F169A4" w:rsidRDefault="00F169A4"/>
    <w:p w:rsidR="00F169A4" w:rsidRDefault="00F169A4"/>
    <w:p w:rsidR="00F169A4" w:rsidRDefault="00F169A4"/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3"/>
        <w:gridCol w:w="5443"/>
        <w:gridCol w:w="2268"/>
      </w:tblGrid>
      <w:tr w:rsidR="00F169A4" w:rsidRPr="00463D80" w:rsidTr="004319FB">
        <w:trPr>
          <w:gridAfter w:val="1"/>
          <w:wAfter w:w="2268" w:type="dxa"/>
          <w:trHeight w:val="801"/>
          <w:jc w:val="center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69A4" w:rsidRPr="00463D80" w:rsidRDefault="00F169A4" w:rsidP="00F169A4">
            <w:pPr>
              <w:pStyle w:val="Nagwek2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bookmarkStart w:id="2" w:name="_Toc41995784"/>
            <w:r w:rsidRPr="00463D80">
              <w:rPr>
                <w:rFonts w:ascii="Arial" w:hAnsi="Arial" w:cs="Arial"/>
                <w:sz w:val="18"/>
                <w:szCs w:val="18"/>
              </w:rPr>
              <w:lastRenderedPageBreak/>
              <w:t>Oprogramowanie: System operacyjny</w:t>
            </w:r>
            <w:bookmarkEnd w:id="2"/>
          </w:p>
          <w:p w:rsidR="00F169A4" w:rsidRPr="00463D80" w:rsidRDefault="00F169A4" w:rsidP="004319FB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69A4" w:rsidRPr="00186BAB" w:rsidTr="004319FB">
        <w:trPr>
          <w:trHeight w:val="181"/>
          <w:jc w:val="center"/>
        </w:trPr>
        <w:tc>
          <w:tcPr>
            <w:tcW w:w="6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9A4" w:rsidRPr="00463D80" w:rsidRDefault="00F169A4" w:rsidP="004319FB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Minimalne parametry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9A4" w:rsidRPr="00463D80" w:rsidRDefault="00F169A4" w:rsidP="00431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>Parametry przedmiotu zamówienia oferowanego przez Wykonawcę</w:t>
            </w:r>
          </w:p>
        </w:tc>
        <w:tc>
          <w:tcPr>
            <w:tcW w:w="2268" w:type="dxa"/>
            <w:vAlign w:val="center"/>
          </w:tcPr>
          <w:p w:rsidR="00F169A4" w:rsidRPr="00463D80" w:rsidRDefault="00F169A4" w:rsidP="004319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69A4" w:rsidRPr="00186BAB" w:rsidTr="004319FB">
        <w:trPr>
          <w:trHeight w:val="20"/>
          <w:jc w:val="center"/>
        </w:trPr>
        <w:tc>
          <w:tcPr>
            <w:tcW w:w="6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9A4" w:rsidRPr="00463D80" w:rsidRDefault="00F169A4" w:rsidP="004319F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9A4" w:rsidRPr="00463D80" w:rsidRDefault="00F169A4" w:rsidP="00431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>Nazwa producenta**:</w:t>
            </w:r>
          </w:p>
          <w:p w:rsidR="00F169A4" w:rsidRPr="00463D80" w:rsidRDefault="00F169A4" w:rsidP="00431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>………………………………</w:t>
            </w:r>
          </w:p>
          <w:p w:rsidR="00F169A4" w:rsidRPr="00463D80" w:rsidRDefault="00F169A4" w:rsidP="00431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>Nazwa oprogramowania**:</w:t>
            </w:r>
          </w:p>
          <w:p w:rsidR="00F169A4" w:rsidRPr="00463D80" w:rsidRDefault="00F169A4" w:rsidP="00431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>………………………………</w:t>
            </w:r>
          </w:p>
        </w:tc>
        <w:tc>
          <w:tcPr>
            <w:tcW w:w="2268" w:type="dxa"/>
            <w:vAlign w:val="center"/>
          </w:tcPr>
          <w:p w:rsidR="00F169A4" w:rsidRPr="00463D80" w:rsidRDefault="00F169A4" w:rsidP="00431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80">
              <w:rPr>
                <w:rFonts w:ascii="Arial" w:hAnsi="Arial" w:cs="Arial"/>
                <w:b/>
                <w:sz w:val="18"/>
                <w:szCs w:val="18"/>
              </w:rPr>
              <w:t>Ocena</w:t>
            </w:r>
            <w:r w:rsidR="002A6C90" w:rsidRPr="00463D80">
              <w:rPr>
                <w:rFonts w:ascii="Arial" w:hAnsi="Arial" w:cs="Arial"/>
                <w:b/>
                <w:sz w:val="18"/>
                <w:szCs w:val="18"/>
              </w:rPr>
              <w:t xml:space="preserve"> Zamawiającego</w:t>
            </w:r>
          </w:p>
        </w:tc>
      </w:tr>
      <w:tr w:rsidR="00F169A4" w:rsidRPr="00186BAB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463D80">
              <w:rPr>
                <w:rFonts w:ascii="Arial" w:hAnsi="Arial" w:cs="Arial"/>
              </w:rPr>
              <w:t>Współpraca z procesorami o architekturze x86-64.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169A4" w:rsidRPr="00463D80" w:rsidRDefault="00F169A4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186BAB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Instalacja i użytkowanie aplikacji 32-bit. i 64-bit. na dostarczonym systemie operacyjnym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186BAB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 w:rsidRPr="00463D80">
              <w:rPr>
                <w:rFonts w:ascii="Arial" w:hAnsi="Arial" w:cs="Arial"/>
              </w:rPr>
              <w:t>Praca w roli klienta domeny Microsoft Active Directory.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186BAB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Pojemność obsługiwanej pamięci RAM w ramach jednej instancji systemu operacyjnego - co najmniej 4TB.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186BAB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Zawarta możliwość uruchamiania nieograniczonej wirtualnych instancji systemu operacyjnego.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186BAB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 w:rsidRPr="00463D80">
              <w:rPr>
                <w:rFonts w:ascii="Arial" w:hAnsi="Arial" w:cs="Arial"/>
              </w:rPr>
              <w:t>Obsługa dostępu wielościeżkowego do zasobów LAN poprzez kontrolery Gigabit Ethernet, w trybie równoważenia obciążenia łącza (</w:t>
            </w:r>
            <w:proofErr w:type="spellStart"/>
            <w:r w:rsidRPr="00463D80">
              <w:rPr>
                <w:rFonts w:ascii="Arial" w:hAnsi="Arial" w:cs="Arial"/>
              </w:rPr>
              <w:t>load</w:t>
            </w:r>
            <w:proofErr w:type="spellEnd"/>
            <w:r w:rsidRPr="00463D80">
              <w:rPr>
                <w:rFonts w:ascii="Arial" w:hAnsi="Arial" w:cs="Arial"/>
              </w:rPr>
              <w:t xml:space="preserve"> </w:t>
            </w:r>
            <w:proofErr w:type="spellStart"/>
            <w:r w:rsidRPr="00463D80">
              <w:rPr>
                <w:rFonts w:ascii="Arial" w:hAnsi="Arial" w:cs="Arial"/>
              </w:rPr>
              <w:t>balancing</w:t>
            </w:r>
            <w:proofErr w:type="spellEnd"/>
            <w:r w:rsidRPr="00463D80">
              <w:rPr>
                <w:rFonts w:ascii="Arial" w:hAnsi="Arial" w:cs="Arial"/>
              </w:rPr>
              <w:t>) i redundancji łącza (</w:t>
            </w:r>
            <w:proofErr w:type="spellStart"/>
            <w:r w:rsidRPr="00463D80">
              <w:rPr>
                <w:rFonts w:ascii="Arial" w:hAnsi="Arial" w:cs="Arial"/>
              </w:rPr>
              <w:t>failover</w:t>
            </w:r>
            <w:proofErr w:type="spellEnd"/>
            <w:r w:rsidRPr="00463D80">
              <w:rPr>
                <w:rFonts w:ascii="Arial" w:hAnsi="Arial" w:cs="Arial"/>
              </w:rPr>
              <w:t>) – natywnie lub z wykorzystaniem sterowników producenta sprzętu.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186BAB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463D80">
              <w:rPr>
                <w:rFonts w:ascii="Arial" w:hAnsi="Arial" w:cs="Arial"/>
              </w:rPr>
              <w:t>Zawarta możliwość uruchomienia roli kontrolera domeny Microsoft Active Directory na poziomie Microsoft Windows Server 2012 r2.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186BAB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 xml:space="preserve">Zawarta możliwość uruchomienia roli serwera DHCP, w tym funkcji </w:t>
            </w:r>
            <w:proofErr w:type="spellStart"/>
            <w:r w:rsidRPr="00463D80">
              <w:rPr>
                <w:rFonts w:ascii="Arial" w:hAnsi="Arial" w:cs="Arial"/>
              </w:rPr>
              <w:t>klastrowania</w:t>
            </w:r>
            <w:proofErr w:type="spellEnd"/>
            <w:r w:rsidRPr="00463D80">
              <w:rPr>
                <w:rFonts w:ascii="Arial" w:hAnsi="Arial" w:cs="Arial"/>
              </w:rPr>
              <w:t xml:space="preserve"> serwera DHCP (możliwość uruchomienia dwóch serwerów DHCP operujących jednocześnie na tej samej puli oferowanych adresów IP).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186BAB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 w:rsidRPr="00463D80">
              <w:rPr>
                <w:rFonts w:ascii="Arial" w:hAnsi="Arial" w:cs="Arial"/>
              </w:rPr>
              <w:t>Zawarta możliwość uruchomienia roli serwera DNS.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186BAB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Zawarta możliwość uruchomienia roli klienta i serwera czasu (NTP).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  <w:sz w:val="18"/>
                <w:szCs w:val="18"/>
              </w:rPr>
            </w:pPr>
            <w:r w:rsidRPr="00463D80">
              <w:rPr>
                <w:rFonts w:ascii="Arial" w:hAnsi="Arial" w:cs="Arial"/>
                <w:sz w:val="18"/>
                <w:szCs w:val="18"/>
              </w:rPr>
              <w:t>Spełnia / nie spełnia*</w:t>
            </w:r>
          </w:p>
        </w:tc>
      </w:tr>
      <w:tr w:rsidR="00F169A4" w:rsidRPr="00463D80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 w:rsidRPr="00463D80">
              <w:rPr>
                <w:rFonts w:ascii="Arial" w:hAnsi="Arial" w:cs="Arial"/>
              </w:rPr>
              <w:lastRenderedPageBreak/>
              <w:t>Zawarta możliwość uruchomienia roli serwera plików z uwierzytelnieniem i autoryzacją dostępu w domenie Microsoft Active Directory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463D80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463D80">
              <w:rPr>
                <w:rFonts w:ascii="Arial" w:hAnsi="Arial" w:cs="Arial"/>
              </w:rPr>
              <w:t>Zawarta możliwość uruchomienia roli serwera wydruku z uwierzytelnieniem i autoryzacją dostępu w domenie Microsoft Active Directory.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463D80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463D80">
              <w:rPr>
                <w:rFonts w:ascii="Arial" w:hAnsi="Arial" w:cs="Arial"/>
              </w:rPr>
              <w:t>Zawarta możliwość uruchomienia roli serwera stron WWW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463D80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 w:rsidRPr="00463D80">
              <w:rPr>
                <w:rFonts w:ascii="Arial" w:hAnsi="Arial" w:cs="Arial"/>
              </w:rPr>
              <w:t xml:space="preserve">W ramach dostarczonej licencji zawarte prawo do użytkowania i dostęp do oprogramowania oferowanego przez producenta systemu operacyjnego umożliwiającego </w:t>
            </w:r>
            <w:proofErr w:type="spellStart"/>
            <w:r w:rsidRPr="00463D80">
              <w:rPr>
                <w:rFonts w:ascii="Arial" w:hAnsi="Arial" w:cs="Arial"/>
              </w:rPr>
              <w:t>wirtualizowanie</w:t>
            </w:r>
            <w:proofErr w:type="spellEnd"/>
            <w:r w:rsidRPr="00463D80">
              <w:rPr>
                <w:rFonts w:ascii="Arial" w:hAnsi="Arial" w:cs="Arial"/>
              </w:rPr>
              <w:t xml:space="preserve"> zasobów sprzętowych serwera.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463D80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W ramach dostarczonej licencji zawarte prawo do instalacji i użytkowania systemu operacyjnego na co najmniej dwóch maszynach wirtualnych.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463D80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W ramach dostarczonej licencji zawarte prawo do pobierania poprawek systemu operacyjnego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F169A4" w:rsidRPr="00463D80" w:rsidTr="002A0D75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suppressAutoHyphens/>
              <w:spacing w:before="60"/>
              <w:contextualSpacing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Wszystkie wymienione w tabeli parametry, role, funkcje, itp. systemu operacyjnego objęte są dostarczoną licencją (licencjami) i zawarte w dostarczonej wersji oprogramowania (nie wymagają ponoszenia przez Zamawiającego dodatkowych kosztów)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4" w:rsidRPr="00463D80" w:rsidRDefault="00F169A4" w:rsidP="00F169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69A4" w:rsidRPr="00463D80" w:rsidRDefault="002A6C90" w:rsidP="00F169A4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</w:tbl>
    <w:p w:rsidR="00F169A4" w:rsidRPr="00463D80" w:rsidRDefault="00F169A4">
      <w:pPr>
        <w:rPr>
          <w:rFonts w:ascii="Arial" w:hAnsi="Arial" w:cs="Arial"/>
        </w:rPr>
      </w:pPr>
    </w:p>
    <w:p w:rsidR="002A6C90" w:rsidRPr="00463D80" w:rsidRDefault="002A6C90">
      <w:pPr>
        <w:rPr>
          <w:rFonts w:ascii="Arial" w:hAnsi="Arial" w:cs="Arial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3"/>
        <w:gridCol w:w="5443"/>
        <w:gridCol w:w="2268"/>
      </w:tblGrid>
      <w:tr w:rsidR="002A6C90" w:rsidRPr="00463D80" w:rsidTr="004319FB">
        <w:trPr>
          <w:gridAfter w:val="1"/>
          <w:wAfter w:w="2268" w:type="dxa"/>
          <w:trHeight w:val="801"/>
          <w:jc w:val="center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6C90" w:rsidRPr="00463D80" w:rsidRDefault="002A6C90" w:rsidP="002A6C90">
            <w:pPr>
              <w:pStyle w:val="Nagwek2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</w:rPr>
            </w:pPr>
            <w:bookmarkStart w:id="3" w:name="_Toc41995785"/>
            <w:r w:rsidRPr="00463D80">
              <w:rPr>
                <w:rFonts w:ascii="Arial" w:hAnsi="Arial" w:cs="Arial"/>
                <w:sz w:val="20"/>
              </w:rPr>
              <w:t>Oprogramowanie: Licencja dostępu zdalnego dla użytkownika</w:t>
            </w:r>
            <w:bookmarkEnd w:id="3"/>
          </w:p>
          <w:p w:rsidR="002A6C90" w:rsidRPr="00463D80" w:rsidRDefault="002A6C90" w:rsidP="004319FB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2A6C90" w:rsidRPr="00463D80" w:rsidTr="004319FB">
        <w:trPr>
          <w:trHeight w:val="181"/>
          <w:jc w:val="center"/>
        </w:trPr>
        <w:tc>
          <w:tcPr>
            <w:tcW w:w="6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90" w:rsidRPr="00463D80" w:rsidRDefault="002A6C90" w:rsidP="004319FB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Minimalne parametry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90" w:rsidRPr="00463D80" w:rsidRDefault="002A6C90" w:rsidP="004319FB">
            <w:pPr>
              <w:rPr>
                <w:rFonts w:ascii="Arial" w:hAnsi="Arial" w:cs="Arial"/>
                <w:b/>
              </w:rPr>
            </w:pPr>
            <w:r w:rsidRPr="00463D80">
              <w:rPr>
                <w:rFonts w:ascii="Arial" w:hAnsi="Arial" w:cs="Arial"/>
                <w:b/>
              </w:rPr>
              <w:t>Parametry przedmiotu zamówienia oferowanego przez Wykonawcę</w:t>
            </w:r>
          </w:p>
        </w:tc>
        <w:tc>
          <w:tcPr>
            <w:tcW w:w="2268" w:type="dxa"/>
            <w:vAlign w:val="center"/>
          </w:tcPr>
          <w:p w:rsidR="002A6C90" w:rsidRPr="00463D80" w:rsidRDefault="002A6C90" w:rsidP="004319FB">
            <w:pPr>
              <w:rPr>
                <w:rFonts w:ascii="Arial" w:hAnsi="Arial" w:cs="Arial"/>
                <w:b/>
              </w:rPr>
            </w:pPr>
          </w:p>
        </w:tc>
      </w:tr>
      <w:tr w:rsidR="002A6C90" w:rsidRPr="00463D80" w:rsidTr="004319FB">
        <w:trPr>
          <w:trHeight w:val="20"/>
          <w:jc w:val="center"/>
        </w:trPr>
        <w:tc>
          <w:tcPr>
            <w:tcW w:w="6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90" w:rsidRPr="00463D80" w:rsidRDefault="002A6C90" w:rsidP="004319F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90" w:rsidRPr="00463D80" w:rsidRDefault="002A6C90" w:rsidP="004319FB">
            <w:pPr>
              <w:rPr>
                <w:rFonts w:ascii="Arial" w:hAnsi="Arial" w:cs="Arial"/>
                <w:b/>
              </w:rPr>
            </w:pPr>
            <w:r w:rsidRPr="00463D80">
              <w:rPr>
                <w:rFonts w:ascii="Arial" w:hAnsi="Arial" w:cs="Arial"/>
                <w:b/>
              </w:rPr>
              <w:t>Nazwa producenta**:</w:t>
            </w:r>
          </w:p>
          <w:p w:rsidR="002A6C90" w:rsidRPr="00463D80" w:rsidRDefault="002A6C90" w:rsidP="004319FB">
            <w:pPr>
              <w:rPr>
                <w:rFonts w:ascii="Arial" w:hAnsi="Arial" w:cs="Arial"/>
                <w:b/>
              </w:rPr>
            </w:pPr>
            <w:r w:rsidRPr="00463D80">
              <w:rPr>
                <w:rFonts w:ascii="Arial" w:hAnsi="Arial" w:cs="Arial"/>
                <w:b/>
              </w:rPr>
              <w:t>………………………………</w:t>
            </w:r>
          </w:p>
          <w:p w:rsidR="002A6C90" w:rsidRPr="00463D80" w:rsidRDefault="002A6C90" w:rsidP="004319FB">
            <w:pPr>
              <w:rPr>
                <w:rFonts w:ascii="Arial" w:hAnsi="Arial" w:cs="Arial"/>
                <w:b/>
              </w:rPr>
            </w:pPr>
            <w:r w:rsidRPr="00463D80">
              <w:rPr>
                <w:rFonts w:ascii="Arial" w:hAnsi="Arial" w:cs="Arial"/>
                <w:b/>
              </w:rPr>
              <w:t>Nazwa oprogramowania**:</w:t>
            </w:r>
          </w:p>
          <w:p w:rsidR="002A6C90" w:rsidRPr="00463D80" w:rsidRDefault="002A6C90" w:rsidP="004319FB">
            <w:pPr>
              <w:rPr>
                <w:rFonts w:ascii="Arial" w:hAnsi="Arial" w:cs="Arial"/>
                <w:b/>
              </w:rPr>
            </w:pPr>
            <w:r w:rsidRPr="00463D80">
              <w:rPr>
                <w:rFonts w:ascii="Arial" w:hAnsi="Arial" w:cs="Arial"/>
                <w:b/>
              </w:rPr>
              <w:t>………………………………</w:t>
            </w:r>
          </w:p>
        </w:tc>
        <w:tc>
          <w:tcPr>
            <w:tcW w:w="2268" w:type="dxa"/>
            <w:vAlign w:val="center"/>
          </w:tcPr>
          <w:p w:rsidR="002A6C90" w:rsidRPr="00463D80" w:rsidRDefault="002A6C90" w:rsidP="004319FB">
            <w:pPr>
              <w:jc w:val="center"/>
              <w:rPr>
                <w:rFonts w:ascii="Arial" w:hAnsi="Arial" w:cs="Arial"/>
                <w:b/>
              </w:rPr>
            </w:pPr>
            <w:r w:rsidRPr="00463D80">
              <w:rPr>
                <w:rFonts w:ascii="Arial" w:hAnsi="Arial" w:cs="Arial"/>
                <w:b/>
              </w:rPr>
              <w:t>Ocena Zamawiającego</w:t>
            </w:r>
          </w:p>
        </w:tc>
      </w:tr>
      <w:tr w:rsidR="002A6C90" w:rsidRPr="00463D80" w:rsidTr="004319FB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ind w:left="284"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lastRenderedPageBreak/>
              <w:t>Licencja kompatybilna z dostarczanym w ramach postępowania systemem operacyjnym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2A6C90" w:rsidRPr="00463D80" w:rsidTr="004319FB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ind w:left="284"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 xml:space="preserve">Licencja dostępu klienta (CAL) dająca możliwość korzystania z pulpitów wirtualnych oraz programów </w:t>
            </w:r>
            <w:proofErr w:type="spellStart"/>
            <w:r w:rsidRPr="00463D80">
              <w:rPr>
                <w:rFonts w:ascii="Arial" w:hAnsi="Arial" w:cs="Arial"/>
              </w:rPr>
              <w:t>RemoteApp</w:t>
            </w:r>
            <w:proofErr w:type="spellEnd"/>
            <w:r w:rsidRPr="00463D80">
              <w:rPr>
                <w:rFonts w:ascii="Arial" w:hAnsi="Arial" w:cs="Arial"/>
              </w:rPr>
              <w:t>, także na komputerach stacjonarnych.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2A6C90" w:rsidRPr="00463D80" w:rsidTr="004319FB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ind w:left="284"/>
              <w:rPr>
                <w:rFonts w:ascii="Arial" w:hAnsi="Arial" w:cs="Arial"/>
                <w:color w:val="000000"/>
              </w:rPr>
            </w:pPr>
            <w:r w:rsidRPr="00463D80">
              <w:rPr>
                <w:rFonts w:ascii="Arial" w:hAnsi="Arial" w:cs="Arial"/>
              </w:rPr>
              <w:t>Licencja pozwala na dostęp do zdalnych połączeń z Internetu oraz wewnętrznej infrastruktury sieciowej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</w:tbl>
    <w:p w:rsidR="002A6C90" w:rsidRPr="00463D80" w:rsidRDefault="002A6C90">
      <w:pPr>
        <w:rPr>
          <w:rFonts w:ascii="Arial" w:hAnsi="Arial" w:cs="Arial"/>
        </w:rPr>
      </w:pPr>
    </w:p>
    <w:p w:rsidR="002A6C90" w:rsidRPr="00463D80" w:rsidRDefault="002A6C90">
      <w:pPr>
        <w:rPr>
          <w:rFonts w:ascii="Arial" w:hAnsi="Arial" w:cs="Arial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3"/>
        <w:gridCol w:w="5443"/>
        <w:gridCol w:w="2268"/>
      </w:tblGrid>
      <w:tr w:rsidR="002A6C90" w:rsidRPr="00463D80" w:rsidTr="004319FB">
        <w:trPr>
          <w:gridAfter w:val="1"/>
          <w:wAfter w:w="2268" w:type="dxa"/>
          <w:trHeight w:val="801"/>
          <w:jc w:val="center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6C90" w:rsidRPr="00463D80" w:rsidRDefault="002A6C90" w:rsidP="002A6C90">
            <w:pPr>
              <w:pStyle w:val="Nagwek2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 w:val="0"/>
                <w:sz w:val="20"/>
              </w:rPr>
            </w:pPr>
            <w:r w:rsidRPr="00463D80">
              <w:rPr>
                <w:rFonts w:ascii="Arial" w:hAnsi="Arial" w:cs="Arial"/>
                <w:sz w:val="20"/>
              </w:rPr>
              <w:t>Oprogramowanie: Pakiet Biurowy</w:t>
            </w:r>
          </w:p>
        </w:tc>
      </w:tr>
      <w:tr w:rsidR="002A6C90" w:rsidRPr="00463D80" w:rsidTr="004319FB">
        <w:trPr>
          <w:trHeight w:val="181"/>
          <w:jc w:val="center"/>
        </w:trPr>
        <w:tc>
          <w:tcPr>
            <w:tcW w:w="6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90" w:rsidRPr="00463D80" w:rsidRDefault="002A6C90" w:rsidP="004319FB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Minimalne parametry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90" w:rsidRPr="00463D80" w:rsidRDefault="002A6C90" w:rsidP="004319FB">
            <w:pPr>
              <w:rPr>
                <w:rFonts w:ascii="Arial" w:hAnsi="Arial" w:cs="Arial"/>
                <w:b/>
              </w:rPr>
            </w:pPr>
            <w:r w:rsidRPr="00463D80">
              <w:rPr>
                <w:rFonts w:ascii="Arial" w:hAnsi="Arial" w:cs="Arial"/>
                <w:b/>
              </w:rPr>
              <w:t>Parametry przedmiotu zamówienia oferowanego przez Wykonawcę</w:t>
            </w:r>
          </w:p>
        </w:tc>
        <w:tc>
          <w:tcPr>
            <w:tcW w:w="2268" w:type="dxa"/>
            <w:vAlign w:val="center"/>
          </w:tcPr>
          <w:p w:rsidR="002A6C90" w:rsidRPr="00463D80" w:rsidRDefault="002A6C90" w:rsidP="004319FB">
            <w:pPr>
              <w:rPr>
                <w:rFonts w:ascii="Arial" w:hAnsi="Arial" w:cs="Arial"/>
                <w:b/>
              </w:rPr>
            </w:pPr>
          </w:p>
        </w:tc>
      </w:tr>
      <w:tr w:rsidR="002A6C90" w:rsidRPr="00463D80" w:rsidTr="004319FB">
        <w:trPr>
          <w:trHeight w:val="20"/>
          <w:jc w:val="center"/>
        </w:trPr>
        <w:tc>
          <w:tcPr>
            <w:tcW w:w="6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90" w:rsidRPr="00463D80" w:rsidRDefault="002A6C90" w:rsidP="004319FB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C90" w:rsidRPr="00463D80" w:rsidRDefault="002A6C90" w:rsidP="004319FB">
            <w:pPr>
              <w:rPr>
                <w:rFonts w:ascii="Arial" w:hAnsi="Arial" w:cs="Arial"/>
                <w:b/>
              </w:rPr>
            </w:pPr>
            <w:r w:rsidRPr="00463D80">
              <w:rPr>
                <w:rFonts w:ascii="Arial" w:hAnsi="Arial" w:cs="Arial"/>
                <w:b/>
              </w:rPr>
              <w:t>Nazwa producenta**:</w:t>
            </w:r>
          </w:p>
          <w:p w:rsidR="002A6C90" w:rsidRPr="00463D80" w:rsidRDefault="002A6C90" w:rsidP="004319FB">
            <w:pPr>
              <w:rPr>
                <w:rFonts w:ascii="Arial" w:hAnsi="Arial" w:cs="Arial"/>
                <w:b/>
              </w:rPr>
            </w:pPr>
            <w:r w:rsidRPr="00463D80">
              <w:rPr>
                <w:rFonts w:ascii="Arial" w:hAnsi="Arial" w:cs="Arial"/>
                <w:b/>
              </w:rPr>
              <w:t>………………………………</w:t>
            </w:r>
          </w:p>
          <w:p w:rsidR="002A6C90" w:rsidRPr="00463D80" w:rsidRDefault="002A6C90" w:rsidP="004319FB">
            <w:pPr>
              <w:rPr>
                <w:rFonts w:ascii="Arial" w:hAnsi="Arial" w:cs="Arial"/>
                <w:b/>
              </w:rPr>
            </w:pPr>
            <w:r w:rsidRPr="00463D80">
              <w:rPr>
                <w:rFonts w:ascii="Arial" w:hAnsi="Arial" w:cs="Arial"/>
                <w:b/>
              </w:rPr>
              <w:t>Nazwa oprogramowania**:</w:t>
            </w:r>
          </w:p>
          <w:p w:rsidR="002A6C90" w:rsidRPr="00463D80" w:rsidRDefault="002A6C90" w:rsidP="004319FB">
            <w:pPr>
              <w:rPr>
                <w:rFonts w:ascii="Arial" w:hAnsi="Arial" w:cs="Arial"/>
                <w:b/>
              </w:rPr>
            </w:pPr>
            <w:r w:rsidRPr="00463D80">
              <w:rPr>
                <w:rFonts w:ascii="Arial" w:hAnsi="Arial" w:cs="Arial"/>
                <w:b/>
              </w:rPr>
              <w:t>………………………………</w:t>
            </w:r>
          </w:p>
        </w:tc>
        <w:tc>
          <w:tcPr>
            <w:tcW w:w="2268" w:type="dxa"/>
            <w:vAlign w:val="center"/>
          </w:tcPr>
          <w:p w:rsidR="002A6C90" w:rsidRPr="00463D80" w:rsidRDefault="002A6C90" w:rsidP="004319FB">
            <w:pPr>
              <w:jc w:val="center"/>
              <w:rPr>
                <w:rFonts w:ascii="Arial" w:hAnsi="Arial" w:cs="Arial"/>
                <w:b/>
              </w:rPr>
            </w:pPr>
            <w:r w:rsidRPr="00463D80">
              <w:rPr>
                <w:rFonts w:ascii="Arial" w:hAnsi="Arial" w:cs="Arial"/>
                <w:b/>
              </w:rPr>
              <w:t>Ocena Zamawiającego</w:t>
            </w:r>
          </w:p>
        </w:tc>
      </w:tr>
      <w:tr w:rsidR="002A6C90" w:rsidRPr="00463D80" w:rsidTr="004319FB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463D80">
              <w:rPr>
                <w:rFonts w:ascii="Arial" w:hAnsi="Arial" w:cs="Arial"/>
                <w:color w:val="000000"/>
              </w:rPr>
              <w:t>Wymagania odnośnie interfejsu użytkownika:</w:t>
            </w:r>
          </w:p>
          <w:p w:rsidR="002A6C90" w:rsidRPr="00463D80" w:rsidRDefault="002A6C90" w:rsidP="002A6C90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63D80">
              <w:rPr>
                <w:rFonts w:ascii="Arial" w:hAnsi="Arial" w:cs="Arial"/>
                <w:color w:val="000000"/>
                <w:sz w:val="20"/>
              </w:rPr>
              <w:t>Pełna polska wersja językowa interfejsu użytkownika</w:t>
            </w:r>
          </w:p>
          <w:p w:rsidR="002A6C90" w:rsidRPr="00463D80" w:rsidRDefault="002A6C90" w:rsidP="002A6C9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63D80">
              <w:rPr>
                <w:rFonts w:ascii="Arial" w:hAnsi="Arial" w:cs="Arial"/>
                <w:color w:val="000000"/>
                <w:sz w:val="20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2A6C90" w:rsidRPr="00463D80" w:rsidTr="004319FB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 xml:space="preserve">Oprogramowanie musi umożliwiać tworzenie i edycję dokumentów elektronicznych w ustalonym formacie, który spełnia następujące warunki: </w:t>
            </w:r>
          </w:p>
          <w:p w:rsidR="002A6C90" w:rsidRPr="00463D80" w:rsidRDefault="002A6C90" w:rsidP="002A6C9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63D80">
              <w:rPr>
                <w:rFonts w:ascii="Arial" w:hAnsi="Arial" w:cs="Arial"/>
                <w:color w:val="000000"/>
                <w:sz w:val="20"/>
              </w:rPr>
              <w:lastRenderedPageBreak/>
              <w:t xml:space="preserve">posiada kompletny i publicznie dostępny opis formatu, </w:t>
            </w:r>
          </w:p>
          <w:p w:rsidR="002A6C90" w:rsidRPr="00463D80" w:rsidRDefault="002A6C90" w:rsidP="002A6C9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63D80">
              <w:rPr>
                <w:rFonts w:ascii="Arial" w:hAnsi="Arial" w:cs="Arial"/>
                <w:color w:val="000000"/>
                <w:sz w:val="20"/>
              </w:rPr>
              <w:t xml:space="preserve">ma zdefiniowany układ informacji w postaci XML zgodnie z Tabelą B1 załącznika 2 Rozporządzenia w sprawie minimalnych wymagań dla systemów teleinformatycznych (Dz.U.05.212.1766) </w:t>
            </w:r>
          </w:p>
          <w:p w:rsidR="002A6C90" w:rsidRPr="00463D80" w:rsidRDefault="002A6C90" w:rsidP="002A6C9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63D80">
              <w:rPr>
                <w:rFonts w:ascii="Arial" w:hAnsi="Arial" w:cs="Arial"/>
                <w:color w:val="000000"/>
                <w:sz w:val="20"/>
              </w:rPr>
              <w:t xml:space="preserve">umożliwia wykorzystanie schematów XML </w:t>
            </w:r>
            <w:r w:rsidRPr="00463D80">
              <w:rPr>
                <w:rFonts w:ascii="Arial" w:hAnsi="Arial" w:cs="Arial"/>
                <w:color w:val="000000"/>
                <w:sz w:val="20"/>
              </w:rPr>
              <w:sym w:font="Symbol" w:char="F0B7"/>
            </w:r>
            <w:r w:rsidRPr="00463D80">
              <w:rPr>
                <w:rFonts w:ascii="Arial" w:hAnsi="Arial" w:cs="Arial"/>
                <w:color w:val="000000"/>
                <w:sz w:val="20"/>
              </w:rPr>
              <w:t xml:space="preserve"> wspiera w swojej specyfikacji podpis elektroniczny zgodnie z Tabelą A.1.1 załącznika 2 Rozporządzenia w sprawie minimalnych wymagań dla systemów teleinformatycznych (Dz.U.05.212.1766)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2A6C90" w:rsidRPr="00463D80" w:rsidTr="004319FB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suppressAutoHyphens/>
              <w:spacing w:before="60"/>
              <w:contextualSpacing/>
              <w:rPr>
                <w:rFonts w:ascii="Arial" w:hAnsi="Arial" w:cs="Arial"/>
                <w:color w:val="000000"/>
              </w:rPr>
            </w:pPr>
            <w:r w:rsidRPr="00463D80">
              <w:rPr>
                <w:rFonts w:ascii="Arial" w:hAnsi="Arial" w:cs="Arial"/>
              </w:rPr>
              <w:t>Oprogramowanie musi umożliwiać dostosowanie dokumentów i szablonów do potrzeb instytucji oraz udostępniać narzędzia umożliwiające dystrybucję odpowiednich szablonów do właściwych odbiorców.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2A6C90" w:rsidRPr="00463D80" w:rsidTr="004319FB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2A6C90" w:rsidRPr="00463D80" w:rsidTr="004319FB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Do aplikacji musi być dostępna pełna dokumentacja w języku polskim.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  <w:tr w:rsidR="002A6C90" w:rsidRPr="00463D80" w:rsidTr="004319FB">
        <w:trPr>
          <w:trHeight w:val="20"/>
          <w:jc w:val="center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suppressAutoHyphens/>
              <w:spacing w:before="60"/>
              <w:contextualSpacing/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 xml:space="preserve">Pakiet zintegrowanych aplikacji biurowych musi zawierać: </w:t>
            </w:r>
          </w:p>
          <w:p w:rsidR="002A6C90" w:rsidRPr="00463D80" w:rsidRDefault="002A6C90" w:rsidP="002A6C90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rPr>
                <w:rFonts w:ascii="Arial" w:hAnsi="Arial" w:cs="Arial"/>
                <w:sz w:val="20"/>
              </w:rPr>
            </w:pPr>
            <w:r w:rsidRPr="00463D80">
              <w:rPr>
                <w:rFonts w:ascii="Arial" w:hAnsi="Arial" w:cs="Arial"/>
                <w:sz w:val="20"/>
              </w:rPr>
              <w:t xml:space="preserve">Edytor tekstów </w:t>
            </w:r>
          </w:p>
          <w:p w:rsidR="002A6C90" w:rsidRPr="00463D80" w:rsidRDefault="002A6C90" w:rsidP="002A6C90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rPr>
                <w:rFonts w:ascii="Arial" w:hAnsi="Arial" w:cs="Arial"/>
                <w:sz w:val="20"/>
              </w:rPr>
            </w:pPr>
            <w:r w:rsidRPr="00463D80">
              <w:rPr>
                <w:rFonts w:ascii="Arial" w:hAnsi="Arial" w:cs="Arial"/>
                <w:sz w:val="20"/>
              </w:rPr>
              <w:t xml:space="preserve">Arkusz kalkulacyjny </w:t>
            </w:r>
          </w:p>
          <w:p w:rsidR="002A6C90" w:rsidRPr="00463D80" w:rsidRDefault="002A6C90" w:rsidP="002A6C90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rPr>
                <w:rFonts w:ascii="Arial" w:hAnsi="Arial" w:cs="Arial"/>
                <w:sz w:val="20"/>
              </w:rPr>
            </w:pPr>
            <w:r w:rsidRPr="00463D80">
              <w:rPr>
                <w:rFonts w:ascii="Arial" w:hAnsi="Arial" w:cs="Arial"/>
                <w:sz w:val="20"/>
              </w:rPr>
              <w:t xml:space="preserve">Narzędzie do przygotowywania i prowadzenia prezentacji </w:t>
            </w:r>
          </w:p>
          <w:p w:rsidR="002A6C90" w:rsidRPr="00463D80" w:rsidRDefault="002A6C90" w:rsidP="002A6C90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rPr>
                <w:rFonts w:ascii="Arial" w:hAnsi="Arial" w:cs="Arial"/>
                <w:sz w:val="20"/>
              </w:rPr>
            </w:pPr>
            <w:r w:rsidRPr="00463D80">
              <w:rPr>
                <w:rFonts w:ascii="Arial" w:hAnsi="Arial" w:cs="Arial"/>
                <w:sz w:val="20"/>
              </w:rPr>
              <w:t xml:space="preserve">Narzędzie do tworzenia i wypełniania formularzy elektronicznych </w:t>
            </w:r>
          </w:p>
          <w:p w:rsidR="002A6C90" w:rsidRPr="00463D80" w:rsidRDefault="002A6C90" w:rsidP="002A6C90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463D80">
              <w:rPr>
                <w:rFonts w:ascii="Arial" w:hAnsi="Arial" w:cs="Arial"/>
                <w:sz w:val="20"/>
              </w:rPr>
              <w:sym w:font="Symbol" w:char="F0B7"/>
            </w:r>
            <w:r w:rsidRPr="00463D80">
              <w:rPr>
                <w:rFonts w:ascii="Arial" w:hAnsi="Arial" w:cs="Arial"/>
                <w:sz w:val="20"/>
              </w:rPr>
              <w:t xml:space="preserve"> Narzędzie do zarządzania informacją prywatną (pocztą elektroniczną, kalendarzem, kontaktami i zadaniami)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6C90" w:rsidRPr="00463D80" w:rsidRDefault="002A6C90" w:rsidP="002A6C90">
            <w:pPr>
              <w:rPr>
                <w:rFonts w:ascii="Arial" w:hAnsi="Arial" w:cs="Arial"/>
              </w:rPr>
            </w:pPr>
            <w:r w:rsidRPr="00463D80">
              <w:rPr>
                <w:rFonts w:ascii="Arial" w:hAnsi="Arial" w:cs="Arial"/>
              </w:rPr>
              <w:t>Spełnia / nie spełnia*</w:t>
            </w:r>
          </w:p>
        </w:tc>
      </w:tr>
    </w:tbl>
    <w:p w:rsidR="002A6C90" w:rsidRPr="00463D80" w:rsidRDefault="002A6C90" w:rsidP="002A6C90">
      <w:pPr>
        <w:rPr>
          <w:rFonts w:ascii="Arial" w:hAnsi="Arial" w:cs="Arial"/>
        </w:rPr>
      </w:pPr>
      <w:r w:rsidRPr="00463D80">
        <w:rPr>
          <w:rFonts w:ascii="Arial" w:hAnsi="Arial" w:cs="Arial"/>
        </w:rPr>
        <w:t>Wykonawca wypełnia tylko kolumnę nr 2, wpisując parametry faktyczne oferowane sprzętu w zakresie określonym przez zamawiającego w kolumnie nr 1</w:t>
      </w:r>
    </w:p>
    <w:p w:rsidR="002A6C90" w:rsidRPr="00463D80" w:rsidRDefault="002A6C90" w:rsidP="002A6C90">
      <w:pPr>
        <w:rPr>
          <w:rFonts w:ascii="Arial" w:hAnsi="Arial" w:cs="Arial"/>
        </w:rPr>
      </w:pPr>
    </w:p>
    <w:p w:rsidR="002A6C90" w:rsidRPr="00E66C92" w:rsidRDefault="002A6C90" w:rsidP="002A6C90">
      <w:pPr>
        <w:rPr>
          <w:rFonts w:ascii="Arial" w:hAnsi="Arial" w:cs="Arial"/>
          <w:sz w:val="22"/>
          <w:szCs w:val="22"/>
        </w:rPr>
      </w:pPr>
      <w:r w:rsidRPr="00E66C92">
        <w:rPr>
          <w:rFonts w:ascii="Arial" w:hAnsi="Arial" w:cs="Arial"/>
          <w:sz w:val="22"/>
          <w:szCs w:val="22"/>
        </w:rPr>
        <w:t xml:space="preserve">…………..............., </w:t>
      </w:r>
      <w:r w:rsidRPr="00E66C92">
        <w:rPr>
          <w:rFonts w:ascii="Arial" w:hAnsi="Arial" w:cs="Arial"/>
        </w:rPr>
        <w:t>dnia</w:t>
      </w:r>
      <w:r w:rsidRPr="00E66C92">
        <w:rPr>
          <w:rFonts w:ascii="Arial" w:hAnsi="Arial" w:cs="Arial"/>
          <w:sz w:val="22"/>
          <w:szCs w:val="22"/>
        </w:rPr>
        <w:t xml:space="preserve"> ………… </w:t>
      </w:r>
      <w:r w:rsidRPr="00E66C92">
        <w:rPr>
          <w:rFonts w:ascii="Arial" w:hAnsi="Arial" w:cs="Arial"/>
          <w:sz w:val="22"/>
          <w:szCs w:val="22"/>
        </w:rPr>
        <w:tab/>
      </w:r>
      <w:r w:rsidRPr="00E66C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6C92">
        <w:rPr>
          <w:rFonts w:ascii="Arial" w:hAnsi="Arial" w:cs="Arial"/>
          <w:sz w:val="22"/>
          <w:szCs w:val="22"/>
        </w:rPr>
        <w:t>…….……….……………………………….</w:t>
      </w:r>
    </w:p>
    <w:p w:rsidR="002A6C90" w:rsidRPr="00021D05" w:rsidRDefault="002A6C90" w:rsidP="002A6C90">
      <w:pPr>
        <w:pStyle w:val="Zwykytekst1"/>
        <w:ind w:left="4500" w:hanging="4956"/>
        <w:rPr>
          <w:rFonts w:ascii="Arial" w:hAnsi="Arial" w:cs="Arial"/>
          <w:sz w:val="16"/>
          <w:szCs w:val="16"/>
        </w:rPr>
      </w:pPr>
      <w:r w:rsidRPr="00E66C92">
        <w:rPr>
          <w:rFonts w:ascii="Arial" w:hAnsi="Arial" w:cs="Arial"/>
          <w:sz w:val="18"/>
          <w:szCs w:val="18"/>
        </w:rPr>
        <w:t xml:space="preserve">                 </w:t>
      </w:r>
      <w:r w:rsidRPr="00021D05">
        <w:rPr>
          <w:rFonts w:ascii="Arial" w:hAnsi="Arial" w:cs="Arial"/>
          <w:sz w:val="16"/>
          <w:szCs w:val="16"/>
        </w:rPr>
        <w:t>(miejscowość)</w:t>
      </w:r>
      <w:r w:rsidRPr="00021D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21D05">
        <w:rPr>
          <w:rFonts w:ascii="Arial" w:hAnsi="Arial" w:cs="Arial"/>
          <w:sz w:val="16"/>
          <w:szCs w:val="16"/>
        </w:rPr>
        <w:t xml:space="preserve"> (pieczęć i podpis osoby/osób uprawnionej/</w:t>
      </w:r>
    </w:p>
    <w:p w:rsidR="002A6C90" w:rsidRPr="00463D80" w:rsidRDefault="002A6C90" w:rsidP="00463D80">
      <w:pPr>
        <w:pStyle w:val="Zwykytekst1"/>
        <w:ind w:left="4320" w:hanging="4956"/>
        <w:rPr>
          <w:rFonts w:ascii="Arial" w:hAnsi="Arial" w:cs="Arial"/>
          <w:sz w:val="16"/>
          <w:szCs w:val="16"/>
        </w:rPr>
      </w:pPr>
      <w:r w:rsidRPr="00021D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21D05">
        <w:rPr>
          <w:rFonts w:ascii="Arial" w:hAnsi="Arial" w:cs="Arial"/>
          <w:sz w:val="16"/>
          <w:szCs w:val="16"/>
        </w:rPr>
        <w:t>uprawnionych do reprezentowania Wykonawcy)</w:t>
      </w:r>
    </w:p>
    <w:sectPr w:rsidR="002A6C90" w:rsidRPr="00463D80" w:rsidSect="00CA011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0F" w:rsidRDefault="00CE7E0F" w:rsidP="00F169A4">
      <w:r>
        <w:separator/>
      </w:r>
    </w:p>
  </w:endnote>
  <w:endnote w:type="continuationSeparator" w:id="0">
    <w:p w:rsidR="00CE7E0F" w:rsidRDefault="00CE7E0F" w:rsidP="00F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  <w:gridCol w:w="2404"/>
    </w:tblGrid>
    <w:tr w:rsidR="00F169A4" w:rsidRPr="003408DE" w:rsidTr="00F169A4">
      <w:tc>
        <w:tcPr>
          <w:tcW w:w="10490" w:type="dxa"/>
        </w:tcPr>
        <w:p w:rsidR="00F169A4" w:rsidRPr="003A24D6" w:rsidRDefault="00F169A4" w:rsidP="00F169A4">
          <w:pPr>
            <w:tabs>
              <w:tab w:val="left" w:pos="7848"/>
            </w:tabs>
            <w:rPr>
              <w:sz w:val="18"/>
              <w:szCs w:val="18"/>
            </w:rPr>
          </w:pPr>
          <w:r w:rsidRPr="003A24D6">
            <w:rPr>
              <w:sz w:val="18"/>
              <w:szCs w:val="18"/>
            </w:rPr>
            <w:t>Akademia Wychowania Fizycznego we Wrocławiu</w:t>
          </w:r>
        </w:p>
        <w:p w:rsidR="00F169A4" w:rsidRPr="003A24D6" w:rsidRDefault="00F169A4" w:rsidP="00F169A4">
          <w:pPr>
            <w:tabs>
              <w:tab w:val="left" w:pos="7848"/>
            </w:tabs>
            <w:rPr>
              <w:sz w:val="18"/>
              <w:szCs w:val="18"/>
            </w:rPr>
          </w:pPr>
          <w:r w:rsidRPr="003A24D6">
            <w:rPr>
              <w:sz w:val="18"/>
              <w:szCs w:val="18"/>
            </w:rPr>
            <w:t>Al. Ignacego Jana Paderewskiego 35</w:t>
          </w:r>
        </w:p>
        <w:p w:rsidR="00F169A4" w:rsidRPr="003A24D6" w:rsidRDefault="00F169A4" w:rsidP="00F169A4">
          <w:pPr>
            <w:tabs>
              <w:tab w:val="left" w:pos="7848"/>
            </w:tabs>
          </w:pPr>
          <w:r w:rsidRPr="003A24D6">
            <w:rPr>
              <w:sz w:val="18"/>
              <w:szCs w:val="18"/>
            </w:rPr>
            <w:t>51-612 Wrocław</w:t>
          </w:r>
        </w:p>
      </w:tc>
      <w:tc>
        <w:tcPr>
          <w:tcW w:w="2404" w:type="dxa"/>
        </w:tcPr>
        <w:p w:rsidR="00F169A4" w:rsidRPr="003A24D6" w:rsidRDefault="00F169A4" w:rsidP="00F169A4">
          <w:pPr>
            <w:tabs>
              <w:tab w:val="left" w:pos="7848"/>
            </w:tabs>
            <w:jc w:val="right"/>
            <w:rPr>
              <w:sz w:val="18"/>
              <w:szCs w:val="18"/>
            </w:rPr>
          </w:pPr>
          <w:r w:rsidRPr="003A24D6">
            <w:rPr>
              <w:sz w:val="18"/>
              <w:szCs w:val="18"/>
            </w:rPr>
            <w:t>Biuro Projektu</w:t>
          </w:r>
        </w:p>
        <w:p w:rsidR="00F169A4" w:rsidRPr="003A24D6" w:rsidRDefault="00F169A4" w:rsidP="00F169A4">
          <w:pPr>
            <w:tabs>
              <w:tab w:val="left" w:pos="7848"/>
            </w:tabs>
            <w:jc w:val="right"/>
            <w:rPr>
              <w:sz w:val="18"/>
              <w:szCs w:val="18"/>
            </w:rPr>
          </w:pPr>
          <w:r w:rsidRPr="003A24D6">
            <w:rPr>
              <w:sz w:val="18"/>
              <w:szCs w:val="18"/>
            </w:rPr>
            <w:t xml:space="preserve">Pawilon P3, </w:t>
          </w:r>
          <w:proofErr w:type="spellStart"/>
          <w:r w:rsidRPr="003A24D6">
            <w:rPr>
              <w:sz w:val="18"/>
              <w:szCs w:val="18"/>
            </w:rPr>
            <w:t>gab</w:t>
          </w:r>
          <w:proofErr w:type="spellEnd"/>
          <w:r w:rsidRPr="003A24D6">
            <w:rPr>
              <w:sz w:val="18"/>
              <w:szCs w:val="18"/>
            </w:rPr>
            <w:t>. 109</w:t>
          </w:r>
        </w:p>
        <w:p w:rsidR="00F169A4" w:rsidRPr="003A24D6" w:rsidRDefault="00F169A4" w:rsidP="00F169A4">
          <w:pPr>
            <w:tabs>
              <w:tab w:val="left" w:pos="7848"/>
            </w:tabs>
            <w:jc w:val="right"/>
            <w:rPr>
              <w:lang w:val="en-US"/>
            </w:rPr>
          </w:pPr>
          <w:r w:rsidRPr="003A24D6">
            <w:rPr>
              <w:sz w:val="18"/>
              <w:szCs w:val="18"/>
              <w:lang w:val="en-US"/>
            </w:rPr>
            <w:t>e-mail: zpk@awf.wroc.pl</w:t>
          </w:r>
        </w:p>
      </w:tc>
    </w:tr>
  </w:tbl>
  <w:p w:rsidR="00F169A4" w:rsidRPr="00F169A4" w:rsidRDefault="00F169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0F" w:rsidRDefault="00CE7E0F" w:rsidP="00F169A4">
      <w:r>
        <w:separator/>
      </w:r>
    </w:p>
  </w:footnote>
  <w:footnote w:type="continuationSeparator" w:id="0">
    <w:p w:rsidR="00CE7E0F" w:rsidRDefault="00CE7E0F" w:rsidP="00F1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4A0" w:firstRow="1" w:lastRow="0" w:firstColumn="1" w:lastColumn="0" w:noHBand="0" w:noVBand="1"/>
    </w:tblPr>
    <w:tblGrid>
      <w:gridCol w:w="2415"/>
      <w:gridCol w:w="2938"/>
      <w:gridCol w:w="1001"/>
      <w:gridCol w:w="3569"/>
    </w:tblGrid>
    <w:tr w:rsidR="00F169A4" w:rsidRPr="006D4246" w:rsidTr="004319FB">
      <w:trPr>
        <w:trHeight w:hRule="exact" w:val="964"/>
      </w:trPr>
      <w:tc>
        <w:tcPr>
          <w:tcW w:w="2415" w:type="dxa"/>
          <w:shd w:val="clear" w:color="auto" w:fill="auto"/>
          <w:vAlign w:val="center"/>
        </w:tcPr>
        <w:p w:rsidR="00F169A4" w:rsidRPr="006D4246" w:rsidRDefault="00F169A4" w:rsidP="00F169A4">
          <w:r w:rsidRPr="00E743D4">
            <w:rPr>
              <w:noProof/>
            </w:rPr>
            <w:drawing>
              <wp:inline distT="0" distB="0" distL="0" distR="0">
                <wp:extent cx="1314450" cy="581025"/>
                <wp:effectExtent l="0" t="0" r="0" b="9525"/>
                <wp:docPr id="4" name="Obraz 4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9A4" w:rsidRPr="006D4246" w:rsidRDefault="00F169A4" w:rsidP="00F169A4"/>
      </w:tc>
      <w:tc>
        <w:tcPr>
          <w:tcW w:w="2938" w:type="dxa"/>
          <w:vAlign w:val="center"/>
        </w:tcPr>
        <w:p w:rsidR="00F169A4" w:rsidRDefault="00F169A4" w:rsidP="00F169A4">
          <w:r w:rsidRPr="00E743D4">
            <w:rPr>
              <w:noProof/>
            </w:rPr>
            <w:drawing>
              <wp:inline distT="0" distB="0" distL="0" distR="0">
                <wp:extent cx="1724025" cy="581025"/>
                <wp:effectExtent l="0" t="0" r="0" b="0"/>
                <wp:docPr id="3" name="Obraz 3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9A4" w:rsidRDefault="00F169A4" w:rsidP="00F169A4"/>
        <w:p w:rsidR="00F169A4" w:rsidRPr="006D4246" w:rsidRDefault="00F169A4" w:rsidP="00F169A4"/>
      </w:tc>
      <w:tc>
        <w:tcPr>
          <w:tcW w:w="1001" w:type="dxa"/>
          <w:shd w:val="clear" w:color="auto" w:fill="auto"/>
          <w:vAlign w:val="center"/>
        </w:tcPr>
        <w:p w:rsidR="00F169A4" w:rsidRPr="006D4246" w:rsidRDefault="00F169A4" w:rsidP="00F169A4">
          <w:r w:rsidRPr="00E743D4">
            <w:rPr>
              <w:noProof/>
            </w:rPr>
            <w:drawing>
              <wp:inline distT="0" distB="0" distL="0" distR="0">
                <wp:extent cx="466725" cy="466725"/>
                <wp:effectExtent l="0" t="0" r="9525" b="9525"/>
                <wp:docPr id="2" name="Obraz 2" descr="AWF_logo_standard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AWF_logo_standard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9" w:type="dxa"/>
          <w:shd w:val="clear" w:color="auto" w:fill="auto"/>
          <w:vAlign w:val="center"/>
        </w:tcPr>
        <w:p w:rsidR="00F169A4" w:rsidRPr="006D4246" w:rsidRDefault="00F169A4" w:rsidP="00F169A4">
          <w:r w:rsidRPr="00E743D4">
            <w:rPr>
              <w:noProof/>
            </w:rPr>
            <w:drawing>
              <wp:inline distT="0" distB="0" distL="0" distR="0">
                <wp:extent cx="1990725" cy="581025"/>
                <wp:effectExtent l="0" t="0" r="9525" b="9525"/>
                <wp:docPr id="1" name="Obraz 1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9A4" w:rsidRPr="006D4246" w:rsidRDefault="00F169A4" w:rsidP="00F169A4"/>
        <w:p w:rsidR="00F169A4" w:rsidRPr="006D4246" w:rsidRDefault="00F169A4" w:rsidP="00F169A4">
          <w:pPr>
            <w:rPr>
              <w:rFonts w:ascii="Franklin Gothic Heavy" w:hAnsi="Franklin Gothic Heavy" w:cs="Aharoni"/>
              <w:b/>
              <w:color w:val="595959"/>
              <w:sz w:val="32"/>
              <w:szCs w:val="32"/>
            </w:rPr>
          </w:pPr>
        </w:p>
      </w:tc>
    </w:tr>
  </w:tbl>
  <w:p w:rsidR="00F169A4" w:rsidRDefault="00F169A4" w:rsidP="00F169A4">
    <w:pPr>
      <w:ind w:left="567" w:hanging="567"/>
      <w:rPr>
        <w:rFonts w:ascii="Calibri Light" w:hAnsi="Calibri Light"/>
        <w:b/>
        <w:i/>
        <w:sz w:val="21"/>
        <w:szCs w:val="21"/>
      </w:rPr>
    </w:pPr>
    <w:r>
      <w:rPr>
        <w:rFonts w:ascii="Calibri Light" w:hAnsi="Calibri Light"/>
        <w:i/>
        <w:sz w:val="21"/>
        <w:szCs w:val="21"/>
      </w:rPr>
      <w:t xml:space="preserve">Projekt </w:t>
    </w:r>
    <w:r>
      <w:rPr>
        <w:rFonts w:ascii="Calibri Light" w:hAnsi="Calibri Light"/>
        <w:b/>
        <w:i/>
        <w:sz w:val="21"/>
        <w:szCs w:val="21"/>
      </w:rPr>
      <w:t>„Zintegrowany program kształcenia i rozwoju Akademii Wychowania Fizycznego we Wrocławiu”</w:t>
    </w:r>
  </w:p>
  <w:p w:rsidR="00F169A4" w:rsidRDefault="00F169A4" w:rsidP="00F169A4">
    <w:pPr>
      <w:ind w:left="585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432434</wp:posOffset>
              </wp:positionV>
              <wp:extent cx="5734050" cy="0"/>
              <wp:effectExtent l="0" t="0" r="1905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9B5438" id="Łącznik prosty 7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.1pt,34.05pt" to="453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Calibri Light" w:hAnsi="Calibri Light"/>
        <w:i/>
        <w:sz w:val="21"/>
        <w:szCs w:val="21"/>
      </w:rPr>
      <w:t>POWR.03.05.00-00-Z115/17 współfinansowany przez Unię Europejską z Europejskiego Funduszu Społecznego w ramach Programu Operacyjnego Wiedza Edukacja Rozwój 2014-2020</w:t>
    </w:r>
    <w:r>
      <w:tab/>
    </w:r>
  </w:p>
  <w:p w:rsidR="00F169A4" w:rsidRDefault="00F169A4" w:rsidP="00F169A4">
    <w:pPr>
      <w:spacing w:after="120"/>
      <w:jc w:val="right"/>
      <w:rPr>
        <w:rFonts w:ascii="Arial" w:hAnsi="Arial" w:cs="Arial"/>
        <w:sz w:val="16"/>
        <w:szCs w:val="16"/>
      </w:rPr>
    </w:pPr>
    <w:r w:rsidRPr="00C86925">
      <w:rPr>
        <w:rFonts w:ascii="Arial" w:hAnsi="Arial" w:cs="Arial"/>
        <w:sz w:val="16"/>
        <w:szCs w:val="16"/>
      </w:rPr>
      <w:tab/>
    </w:r>
    <w:r w:rsidRPr="00C86925">
      <w:rPr>
        <w:rFonts w:ascii="Arial" w:hAnsi="Arial" w:cs="Arial"/>
        <w:sz w:val="16"/>
        <w:szCs w:val="16"/>
      </w:rPr>
      <w:tab/>
    </w:r>
    <w:r w:rsidRPr="00C86925">
      <w:rPr>
        <w:rFonts w:ascii="Arial" w:hAnsi="Arial" w:cs="Arial"/>
        <w:sz w:val="16"/>
        <w:szCs w:val="16"/>
      </w:rPr>
      <w:tab/>
    </w:r>
    <w:r w:rsidRPr="00C86925">
      <w:rPr>
        <w:rFonts w:ascii="Arial" w:hAnsi="Arial" w:cs="Arial"/>
        <w:sz w:val="16"/>
        <w:szCs w:val="16"/>
      </w:rPr>
      <w:tab/>
    </w:r>
  </w:p>
  <w:p w:rsidR="00F169A4" w:rsidRPr="0040787A" w:rsidRDefault="00F169A4" w:rsidP="00F169A4">
    <w:pPr>
      <w:spacing w:after="120"/>
      <w:jc w:val="righ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8"/>
        <w:szCs w:val="18"/>
        <w:lang w:val="en-US"/>
      </w:rPr>
      <w:t>Sprawa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hAnsi="Arial" w:cs="Arial"/>
        <w:sz w:val="18"/>
        <w:szCs w:val="18"/>
        <w:lang w:val="en-US"/>
      </w:rPr>
      <w:t>nr</w:t>
    </w:r>
    <w:proofErr w:type="spellEnd"/>
    <w:r>
      <w:rPr>
        <w:rFonts w:ascii="Arial" w:hAnsi="Arial" w:cs="Arial"/>
        <w:sz w:val="18"/>
        <w:szCs w:val="18"/>
        <w:lang w:val="en-US"/>
      </w:rPr>
      <w:t xml:space="preserve"> KZ-9</w:t>
    </w:r>
    <w:r w:rsidRPr="00E91040">
      <w:rPr>
        <w:rFonts w:ascii="Arial" w:hAnsi="Arial" w:cs="Arial"/>
        <w:sz w:val="18"/>
        <w:szCs w:val="18"/>
        <w:lang w:val="en-US"/>
      </w:rPr>
      <w:t>/20</w:t>
    </w:r>
    <w:r>
      <w:rPr>
        <w:rFonts w:ascii="Arial" w:hAnsi="Arial" w:cs="Arial"/>
        <w:sz w:val="18"/>
        <w:szCs w:val="18"/>
        <w:lang w:val="en-US"/>
      </w:rPr>
      <w:t>20</w:t>
    </w:r>
  </w:p>
  <w:p w:rsidR="00F169A4" w:rsidRDefault="00F16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08C"/>
    <w:multiLevelType w:val="hybridMultilevel"/>
    <w:tmpl w:val="59D80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1157"/>
    <w:multiLevelType w:val="hybridMultilevel"/>
    <w:tmpl w:val="E55A5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56642"/>
    <w:multiLevelType w:val="hybridMultilevel"/>
    <w:tmpl w:val="88E8A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C606A"/>
    <w:multiLevelType w:val="multilevel"/>
    <w:tmpl w:val="FD46F550"/>
    <w:lvl w:ilvl="0">
      <w:start w:val="1"/>
      <w:numFmt w:val="decimal"/>
      <w:pStyle w:val="Nagwek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1A"/>
    <w:rsid w:val="00084A25"/>
    <w:rsid w:val="002A6C90"/>
    <w:rsid w:val="0038479B"/>
    <w:rsid w:val="00463D80"/>
    <w:rsid w:val="004A2257"/>
    <w:rsid w:val="005C4537"/>
    <w:rsid w:val="007C017B"/>
    <w:rsid w:val="009766A9"/>
    <w:rsid w:val="00CA011A"/>
    <w:rsid w:val="00CE7E0F"/>
    <w:rsid w:val="00E11FE8"/>
    <w:rsid w:val="00F1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C441F9-1730-4736-9E5B-C90B751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A4"/>
    <w:pPr>
      <w:keepNext/>
      <w:numPr>
        <w:numId w:val="1"/>
      </w:numPr>
      <w:spacing w:before="600" w:after="240" w:line="276" w:lineRule="auto"/>
      <w:jc w:val="both"/>
      <w:outlineLvl w:val="0"/>
    </w:pPr>
    <w:rPr>
      <w:rFonts w:ascii="Calibri" w:eastAsia="MS Mincho" w:hAnsi="Calibri"/>
      <w:b/>
      <w:bCs/>
      <w:sz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69A4"/>
    <w:pPr>
      <w:keepNext/>
      <w:numPr>
        <w:ilvl w:val="1"/>
        <w:numId w:val="1"/>
      </w:numPr>
      <w:spacing w:before="480" w:after="240" w:line="276" w:lineRule="auto"/>
      <w:jc w:val="both"/>
      <w:outlineLvl w:val="1"/>
    </w:pPr>
    <w:rPr>
      <w:rFonts w:ascii="Calibri" w:eastAsia="MS Mincho" w:hAnsi="Calibri"/>
      <w:b/>
      <w:sz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69A4"/>
    <w:pPr>
      <w:keepNext/>
      <w:numPr>
        <w:ilvl w:val="2"/>
        <w:numId w:val="1"/>
      </w:numPr>
      <w:spacing w:before="240" w:after="120" w:line="276" w:lineRule="auto"/>
      <w:jc w:val="both"/>
      <w:outlineLvl w:val="2"/>
    </w:pPr>
    <w:rPr>
      <w:rFonts w:ascii="Calibri" w:hAnsi="Calibri"/>
      <w:b/>
      <w:bCs/>
      <w:sz w:val="24"/>
      <w:szCs w:val="26"/>
      <w:lang w:eastAsia="ja-JP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69A4"/>
    <w:pPr>
      <w:keepNext/>
      <w:numPr>
        <w:ilvl w:val="3"/>
        <w:numId w:val="1"/>
      </w:numPr>
      <w:spacing w:before="200" w:after="60" w:line="276" w:lineRule="auto"/>
      <w:jc w:val="both"/>
      <w:outlineLvl w:val="3"/>
    </w:pPr>
    <w:rPr>
      <w:rFonts w:ascii="Calibri" w:hAnsi="Calibri"/>
      <w:b/>
      <w:bCs/>
      <w:sz w:val="22"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69A4"/>
    <w:pPr>
      <w:numPr>
        <w:ilvl w:val="4"/>
        <w:numId w:val="1"/>
      </w:numPr>
      <w:spacing w:before="240" w:after="60" w:line="276" w:lineRule="auto"/>
      <w:jc w:val="both"/>
      <w:outlineLvl w:val="4"/>
    </w:pPr>
    <w:rPr>
      <w:rFonts w:ascii="Calibri" w:hAnsi="Calibri"/>
      <w:bCs/>
      <w:iCs/>
      <w:sz w:val="22"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69A4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ja-JP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69A4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69A4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69A4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9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9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F169A4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F1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169A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169A4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F169A4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F169A4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"/>
    <w:rsid w:val="00F169A4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"/>
    <w:rsid w:val="00F169A4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rsid w:val="00F169A4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"/>
    <w:rsid w:val="00F169A4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"/>
    <w:rsid w:val="00F169A4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"/>
    <w:rsid w:val="00F169A4"/>
    <w:rPr>
      <w:rFonts w:ascii="Cambria" w:eastAsia="Times New Roman" w:hAnsi="Cambria" w:cs="Times New Roman"/>
      <w:lang w:eastAsia="ja-JP"/>
    </w:rPr>
  </w:style>
  <w:style w:type="paragraph" w:customStyle="1" w:styleId="Listanumerowana1">
    <w:name w:val="Lista numerowana1"/>
    <w:basedOn w:val="Normalny"/>
    <w:uiPriority w:val="99"/>
    <w:rsid w:val="002A6C90"/>
    <w:pPr>
      <w:numPr>
        <w:numId w:val="2"/>
      </w:numPr>
      <w:spacing w:line="276" w:lineRule="auto"/>
      <w:textAlignment w:val="top"/>
    </w:pPr>
    <w:rPr>
      <w:rFonts w:ascii="Calibri" w:eastAsia="MS Mincho" w:hAnsi="Calibri" w:cs="Arial"/>
      <w:kern w:val="1"/>
      <w:sz w:val="22"/>
      <w:lang w:eastAsia="ar-SA"/>
    </w:rPr>
  </w:style>
  <w:style w:type="paragraph" w:styleId="Akapitzlist">
    <w:name w:val="List Paragraph"/>
    <w:aliases w:val="Numerowanie,Akapit z listą BS,Bulleted list,L1,Odstavec,Podsis rysunku,List Paragraph,Kolorowa lista — akcent 11"/>
    <w:basedOn w:val="Normalny"/>
    <w:link w:val="AkapitzlistZnak"/>
    <w:uiPriority w:val="34"/>
    <w:qFormat/>
    <w:rsid w:val="002A6C90"/>
    <w:pPr>
      <w:spacing w:after="120" w:line="276" w:lineRule="auto"/>
      <w:ind w:left="720"/>
      <w:contextualSpacing/>
      <w:jc w:val="both"/>
    </w:pPr>
    <w:rPr>
      <w:rFonts w:ascii="Calibri" w:eastAsia="MS Mincho" w:hAnsi="Calibri"/>
      <w:sz w:val="22"/>
      <w:lang w:eastAsia="ja-JP"/>
    </w:rPr>
  </w:style>
  <w:style w:type="character" w:customStyle="1" w:styleId="AkapitzlistZnak">
    <w:name w:val="Akapit z listą Znak"/>
    <w:aliases w:val="Numerowanie Znak,Akapit z listą BS Znak,Bulleted list Znak,L1 Znak,Odstavec Znak,Podsis rysunku Znak,List Paragraph Znak,Kolorowa lista — akcent 11 Znak"/>
    <w:link w:val="Akapitzlist"/>
    <w:uiPriority w:val="34"/>
    <w:qFormat/>
    <w:locked/>
    <w:rsid w:val="002A6C90"/>
    <w:rPr>
      <w:rFonts w:ascii="Calibri" w:eastAsia="MS Mincho" w:hAnsi="Calibri" w:cs="Times New Roman"/>
      <w:szCs w:val="20"/>
      <w:lang w:eastAsia="ja-JP"/>
    </w:rPr>
  </w:style>
  <w:style w:type="paragraph" w:customStyle="1" w:styleId="Zwykytekst1">
    <w:name w:val="Zwykły tekst1"/>
    <w:basedOn w:val="Normalny"/>
    <w:rsid w:val="002A6C90"/>
    <w:pPr>
      <w:suppressAutoHyphens/>
    </w:pPr>
    <w:rPr>
      <w:rFonts w:ascii="Courier New" w:hAnsi="Courier Ne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1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2020-06-18T11:59:00Z</cp:lastPrinted>
  <dcterms:created xsi:type="dcterms:W3CDTF">2020-06-18T11:59:00Z</dcterms:created>
  <dcterms:modified xsi:type="dcterms:W3CDTF">2020-06-18T11:59:00Z</dcterms:modified>
</cp:coreProperties>
</file>