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„Wykonanie dokumentacji projektowo-kosztorysowej </w:t>
      </w: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odbudowy/rozbiórki budynków gospodarczych w zasobach ZGM Lubawka”</w:t>
      </w: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(t.j. Dz. U. 2023 r, poz. 1605 z późń. zm.) na podstawie art. 2 ust. 1 pkt 1 tej ustawy – przewidywana wartość zamówienia nie przekracza kwoty 130 000 zł.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Przedmiotem zamówienia jest wykonanie dokumentacji projektowo-kosztorysowej odbudowy lub rozbiórki budynków gospodarczych w zasobach ZGM w Lubawce.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Niniejsze zapytanie ofertowe obejmuje wykonanie dokumentacji dla następujących budynków gospodarczych: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budynek gospodarczy 2-kondygnacyjny przy Aleja Wojska Polskiego 27 w Lubawce, dz. ewid. nr 796/2 obr. Lubawka 3,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budynek gospodarczy 2-kondygnacyjny przy Aleja Wojska Polskiego 45 w Lubawce, dz. ewid. nr 777 obr. Lubawka 3,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budynek gospodarczy (w części 2-kondygnacyjnej) przy ul. Dworcowej 20 w Lubawce, dz. ewid. nr 207/15 obr. Lubawka 3,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budynek gospodarczy 1-kondygnacyjny przy ul. Krótkiej 1a w Lubawce, dz. ewid. nr 534/4 obr. Lubawka 3,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budynek gospodarczy 2-kondygnacyjny przy Placu Jana Pawła II 6 w Lubawce, dz. ewid. nr 259 obr. Lubawka 3,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budynek gospodarczy 2-kondygnacyjny przy ul. Sudeckiej 7-8-9 w Lubawce, dz. ewid. nr 376/7 obr. Lubawka 3,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budynek gospodarczy 2-kondygnacyjny przy budynku nr 79 w Okrzeszynie, dz. ewid. nr 160/1 obr. Okrzeszyn,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Zamawiający zastrzega sobie prawo do zmiany zakresu zamówienia - odstąpienie od wykonania dokumentacji dla części ww. obiektów - rozliczenie nastąpi na podstawie cen jednostkowych poszczególnych kompletów dokumentacji.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Lokalizacja obiektów, dokumentacja fotograficzna i szczegółowe wytyczne zawiera Załącznik nr 4 do niniejszego zapytania.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 sporządzonej dokumentacji należy przedstawić ocenę stanu technicznego istniejącego budynku i wskazać najbardziej racjonalne (z punktu widzenia techniczno-ekonomicznego) rozwiązanie, tj. rozbiórkę lub odbudowę budynku.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Przedmiot zamówienia obejmuje w szczególności:</w:t>
      </w:r>
    </w:p>
    <w:p>
      <w:pPr>
        <w:pStyle w:val="24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Hlk86069277"/>
      <w:bookmarkStart w:id="1" w:name="_Hlk86069242"/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wykonanie</w:t>
      </w: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projektu zagospodarowania działki lub terenu oraz projektu architektoniczno-budowlanego odbudowy lub rozbiórki 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– 4 egz. (wersja papierowa) oraz 1 egz. (na nośniku elektronicznym),</w:t>
      </w:r>
    </w:p>
    <w:p>
      <w:pPr>
        <w:pStyle w:val="24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Arial"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 xml:space="preserve">wykonanie projektu </w:t>
      </w: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technicznego</w:t>
      </w:r>
      <w:r>
        <w:rPr>
          <w:rFonts w:cs="Arial"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 xml:space="preserve"> – 4 egz. (wersja papierowa) oraz 1 egz. (wersja na nośniku elektronicznym),</w:t>
      </w:r>
    </w:p>
    <w:p>
      <w:pPr>
        <w:pStyle w:val="24"/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wykonanie kosztorysu inwestorskiego – 1 egz. (wersja papierowa) oraz 1 egz. (na nośniku elektronicznym),</w:t>
      </w:r>
    </w:p>
    <w:bookmarkEnd w:id="0"/>
    <w:p>
      <w:pPr>
        <w:pStyle w:val="24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uzgodnienie projektu z Dolnośląskim Wojewódzkim Konserwatorem Zabytków,</w:t>
      </w:r>
    </w:p>
    <w:p>
      <w:pPr>
        <w:pStyle w:val="24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>
      <w:pPr>
        <w:pStyle w:val="24"/>
        <w:widowControl w:val="0"/>
        <w:numPr>
          <w:ilvl w:val="0"/>
          <w:numId w:val="3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sprawowanie nadzoru autorskiego w trakcie realizacji robót budowlanych w oparciu o wykonaną dokumentację projektową.</w:t>
      </w:r>
    </w:p>
    <w:bookmarkEnd w:id="1"/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Opracowana dokumentacja stanowić będzie podstawę do ogłoszenia przez Zamawiającego zamówienia publicznego na roboty budowlane.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Wykonawca </w:t>
      </w:r>
      <w:r>
        <w:rPr>
          <w:rFonts w:ascii="Cambria" w:hAnsi="Cambria" w:cs="Arial"/>
          <w:color w:val="000000" w:themeColor="text1"/>
          <w:u w:val="single"/>
          <w14:textFill>
            <w14:solidFill>
              <w14:schemeClr w14:val="tx1"/>
            </w14:solidFill>
          </w14:textFill>
        </w:rPr>
        <w:t>nie będzie zobowiązany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do uzyskania decyzji pozwolenia na budowę w imieniu Zamawiającego.</w:t>
      </w:r>
    </w:p>
    <w:p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Wykonawca </w:t>
      </w:r>
      <w:r>
        <w:rPr>
          <w:rFonts w:ascii="Cambria" w:hAnsi="Cambria" w:cs="Arial"/>
          <w:color w:val="000000" w:themeColor="text1"/>
          <w:u w:val="single"/>
          <w14:textFill>
            <w14:solidFill>
              <w14:schemeClr w14:val="tx1"/>
            </w14:solidFill>
          </w14:textFill>
        </w:rPr>
        <w:t>będzie zobowiązany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do uzupełnienia projektu/dokonania zmian w projekcie w przypadku, gdy zażąda tego organ administracji architektoniczno-budowlanej lub DWKZ.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Przy kalkulacji ceny ofertowej należy uwzględnić konieczność uzyskania przez Wykonawcę mapy zasadniczej/mapy do celów projektowych oraz niezbędnych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decyzji, opinii i zaświadczeń, celem prawidłowego wykonania przedmiotu umowy.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Dokumentacja projektowa musi być wykonana przez osobę (osoby) posiadającą uprawnienia budowlane w odpowiedniej specjalności i odpowiednim zakresie.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Przed złożeniem oferty Zamawiający zaleca przeprowadzenie wizji lokalnej na budynku objętym przedmiotem zamówienia.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Zamawiający dopuszcza możliwość składania ofert częściowych.</w:t>
      </w:r>
    </w:p>
    <w:p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Termin wykonania zamówienia:</w:t>
      </w:r>
    </w:p>
    <w:p>
      <w:pPr>
        <w:pStyle w:val="24"/>
        <w:widowControl w:val="0"/>
        <w:numPr>
          <w:ilvl w:val="0"/>
          <w:numId w:val="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złożenie w siedzibie Zamawiającego wykonanej dokumentacji: </w:t>
      </w:r>
      <w:r>
        <w:rPr>
          <w:rFonts w:ascii="Cambria" w:hAnsi="Cambria"/>
          <w:b/>
          <w:snapToGrid w:val="0"/>
          <w:color w:val="000000" w:themeColor="text1"/>
          <w14:textFill>
            <w14:solidFill>
              <w14:schemeClr w14:val="tx1"/>
            </w14:solidFill>
          </w14:textFill>
        </w:rPr>
        <w:t>do dnia 30.08.2024 r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widowControl w:val="0"/>
        <w:numPr>
          <w:ilvl w:val="0"/>
          <w:numId w:val="5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sprawowanie nadzoru autorskiego: do czasu zakończenia robót budowlanych objętych wykonaną dokumentacją projektową wraz z procedurami odbiorowymi.</w:t>
      </w:r>
    </w:p>
    <w:p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widowControl w:val="0"/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 za wykonanie odrębnie każdego z wymienionych zadań.</w:t>
      </w:r>
    </w:p>
    <w:p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numPr>
          <w:ilvl w:val="0"/>
          <w:numId w:val="6"/>
        </w:numPr>
        <w:spacing w:line="276" w:lineRule="auto"/>
        <w:ind w:left="426" w:hanging="426"/>
        <w:jc w:val="both"/>
        <w:rPr>
          <w:rStyle w:val="26"/>
          <w:rFonts w:ascii="Cambria" w:hAnsi="Cambr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widowControl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numPr>
          <w:ilvl w:val="0"/>
          <w:numId w:val="7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numPr>
          <w:ilvl w:val="0"/>
          <w:numId w:val="7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numPr>
          <w:ilvl w:val="0"/>
          <w:numId w:val="7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numPr>
          <w:ilvl w:val="0"/>
          <w:numId w:val="7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"https://platformazakupowa.pl/pn/lubawka" </w:instrText>
      </w:r>
      <w:r>
        <w:fldChar w:fldCharType="separate"/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06.05.2024 r,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numPr>
          <w:ilvl w:val="0"/>
          <w:numId w:val="8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fldChar w:fldCharType="begin"/>
      </w:r>
      <w:r>
        <w:instrText xml:space="preserve"> HYPERLINK "mailto:maciej.kosal@zgm.lubawka.eu"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9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fldChar w:fldCharType="begin"/>
      </w:r>
      <w:r>
        <w:instrText xml:space="preserve"> HYPERLINK "mailto:edyta.gugul@zgm.lubawka.eu"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spacing w:line="276" w:lineRule="auto"/>
        <w:ind w:left="851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podpisze z Wykonawcą odrębne umowy na wykonanie dokumentacji dla każdego z obiektów.</w:t>
      </w:r>
    </w:p>
    <w:p>
      <w:pPr>
        <w:pStyle w:val="10"/>
        <w:numPr>
          <w:ilvl w:val="3"/>
          <w:numId w:val="10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Wykonawca będzie związany złożoną ofertą przez okres 60 dni. Bieg terminu związania ofertą rozpoczyna się wraz z upływem terminu składania ofert.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oświadczeni</w:t>
      </w:r>
      <w:r>
        <w:rPr>
          <w:rFonts w:hint="default" w:ascii="Cambria" w:hAnsi="Cambria"/>
          <w:b/>
          <w:i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o spełnianiu warunków udziału w postępowaniu,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wzór umowy,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klauzula informacyjna,</w:t>
      </w:r>
    </w:p>
    <w:p>
      <w:pPr>
        <w:widowControl w:val="0"/>
        <w:numPr>
          <w:ilvl w:val="0"/>
          <w:numId w:val="11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Opis Przedmiotu Zamówienia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Lubawka, dnia 15.04.2024 r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6F5B"/>
    <w:multiLevelType w:val="multilevel"/>
    <w:tmpl w:val="40146F5B"/>
    <w:lvl w:ilvl="0" w:tentative="0">
      <w:start w:val="1"/>
      <w:numFmt w:val="decimal"/>
      <w:lvlText w:val="%1)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5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69CC"/>
    <w:multiLevelType w:val="multilevel"/>
    <w:tmpl w:val="753D69CC"/>
    <w:lvl w:ilvl="0" w:tentative="0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B2391E"/>
    <w:multiLevelType w:val="multilevel"/>
    <w:tmpl w:val="77B2391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045"/>
    <w:rsid w:val="00190DA5"/>
    <w:rsid w:val="00194E99"/>
    <w:rsid w:val="00195BE0"/>
    <w:rsid w:val="001A1DA2"/>
    <w:rsid w:val="001B0A37"/>
    <w:rsid w:val="001B0A4B"/>
    <w:rsid w:val="001B7035"/>
    <w:rsid w:val="001C1CD6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A78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527E8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092F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25BE"/>
    <w:rsid w:val="009C6D72"/>
    <w:rsid w:val="009D658F"/>
    <w:rsid w:val="009E0E04"/>
    <w:rsid w:val="009E38F6"/>
    <w:rsid w:val="009E672D"/>
    <w:rsid w:val="009E6EE9"/>
    <w:rsid w:val="009F04B8"/>
    <w:rsid w:val="009F26BA"/>
    <w:rsid w:val="009F5989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3174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45FB6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1810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361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8581F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2F252B0"/>
    <w:rsid w:val="037614CD"/>
    <w:rsid w:val="085D307E"/>
    <w:rsid w:val="0D482F3D"/>
    <w:rsid w:val="27A24E02"/>
    <w:rsid w:val="29673DDB"/>
    <w:rsid w:val="2CDA026E"/>
    <w:rsid w:val="522651DE"/>
    <w:rsid w:val="53F17124"/>
    <w:rsid w:val="5DA15CA9"/>
    <w:rsid w:val="60AC022A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1156</Words>
  <Characters>6937</Characters>
  <Lines>57</Lines>
  <Paragraphs>16</Paragraphs>
  <TotalTime>241</TotalTime>
  <ScaleCrop>false</ScaleCrop>
  <LinksUpToDate>false</LinksUpToDate>
  <CharactersWithSpaces>8077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2024-04-13T17:44:51Z</dcterms:modified>
  <dc:title>Z A P Y T A N I E    O F E R T O W E</dc:title>
  <cp:revision>279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