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96C9E" w:rsidRPr="00196C9E" w:rsidRDefault="00196C9E" w:rsidP="00196C9E">
      <w:pPr>
        <w:ind w:left="0" w:firstLine="0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bookmarkStart w:id="0" w:name="_Hlk62731667"/>
      <w:bookmarkStart w:id="1" w:name="_Hlk62731704"/>
      <w:bookmarkStart w:id="2" w:name="_Hlk528925731"/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Zgodnie z art. 13 ust. 1 i 2 rozporządzenia Parlamentu Europejskiego i Rady (UE) 2016/679 z dnia 27 kwietnia 2016 r. w sprawie ochrony osób fizycznych w związku z przetwarzaniem danych osobowych i w sprawie swobodnego przepływu takich danych oraz uchylenia dyrektywy 95</w:t>
      </w:r>
      <w:bookmarkEnd w:id="0"/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/46/WE (ogólne rozporządzenie o ochronie danych) (Dz. Urz. UE L 119 z 04.05.2016, str. 1), dalej „RODO”, informuję, że: </w:t>
      </w:r>
    </w:p>
    <w:bookmarkEnd w:id="1"/>
    <w:p w:rsidR="009102F3" w:rsidRDefault="0076386F" w:rsidP="009102F3">
      <w:pPr>
        <w:numPr>
          <w:ilvl w:val="0"/>
          <w:numId w:val="14"/>
        </w:numPr>
        <w:autoSpaceDE w:val="0"/>
        <w:spacing w:after="160" w:line="259" w:lineRule="auto"/>
        <w:ind w:left="426"/>
        <w:jc w:val="both"/>
        <w:rPr>
          <w:rFonts w:ascii="Calibri Light" w:eastAsiaTheme="minorHAnsi" w:hAnsi="Calibri Light" w:cs="Calibri Light"/>
          <w:sz w:val="24"/>
          <w:szCs w:val="24"/>
          <w:lang w:eastAsia="zh-CN"/>
        </w:rPr>
      </w:pPr>
      <w:r w:rsidRPr="0076386F">
        <w:rPr>
          <w:rFonts w:ascii="Calibri Light" w:eastAsiaTheme="minorHAnsi" w:hAnsi="Calibri Light" w:cs="Calibri Light"/>
          <w:sz w:val="24"/>
          <w:szCs w:val="24"/>
          <w:lang w:eastAsia="zh-CN"/>
        </w:rPr>
        <w:t>administratorem Pani/Pana danych osobowych jest Burmistrz Kietrza,  ul. 3 Maja 1, 48-130 Kietrz.</w:t>
      </w:r>
    </w:p>
    <w:p w:rsidR="0076386F" w:rsidRPr="009102F3" w:rsidRDefault="0076386F" w:rsidP="009102F3">
      <w:pPr>
        <w:numPr>
          <w:ilvl w:val="0"/>
          <w:numId w:val="14"/>
        </w:numPr>
        <w:autoSpaceDE w:val="0"/>
        <w:spacing w:after="160" w:line="259" w:lineRule="auto"/>
        <w:ind w:left="426"/>
        <w:jc w:val="both"/>
        <w:rPr>
          <w:rFonts w:ascii="Calibri Light" w:eastAsiaTheme="minorHAnsi" w:hAnsi="Calibri Light" w:cs="Calibri Light"/>
          <w:sz w:val="24"/>
          <w:szCs w:val="24"/>
          <w:lang w:eastAsia="zh-CN"/>
        </w:rPr>
      </w:pPr>
      <w:bookmarkStart w:id="3" w:name="_GoBack"/>
      <w:bookmarkEnd w:id="3"/>
      <w:r w:rsidRPr="009102F3">
        <w:rPr>
          <w:rFonts w:ascii="Calibri Light" w:eastAsiaTheme="minorHAnsi" w:hAnsi="Calibri Light" w:cs="Calibri Light"/>
          <w:sz w:val="24"/>
          <w:szCs w:val="24"/>
          <w:lang w:eastAsia="zh-CN"/>
        </w:rPr>
        <w:t xml:space="preserve">kontakt z IOD: </w:t>
      </w:r>
      <w:r w:rsidR="009102F3" w:rsidRPr="009102F3">
        <w:rPr>
          <w:rFonts w:ascii="Calibri Light" w:eastAsiaTheme="minorHAnsi" w:hAnsi="Calibri Light" w:cs="Calibri Light"/>
          <w:sz w:val="24"/>
          <w:szCs w:val="24"/>
          <w:lang w:eastAsia="zh-CN"/>
        </w:rPr>
        <w:t>iod@kietrz.pl</w:t>
      </w:r>
    </w:p>
    <w:p w:rsidR="00196C9E" w:rsidRPr="00196C9E" w:rsidRDefault="00196C9E" w:rsidP="00A323CB">
      <w:pPr>
        <w:numPr>
          <w:ilvl w:val="0"/>
          <w:numId w:val="14"/>
        </w:numPr>
        <w:autoSpaceDE w:val="0"/>
        <w:spacing w:after="160" w:line="259" w:lineRule="auto"/>
        <w:ind w:left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iCs/>
          <w:sz w:val="24"/>
          <w:szCs w:val="24"/>
          <w:lang w:eastAsia="en-US"/>
        </w:rPr>
        <w:t>Pani/Pana dane osobowe przetwarzane będą na podstawie art. 6 ust. 1 lit. c RODO w celu związanym z postępowaniem o udzielenie zamówienia publicznego.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Odbiorcami Pani/Pana danych osobowych będą osoby lub podmioty, którym udostępniona zostanie dokumentacja postępowania w oparciu ustawę Pzp,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Dane osobowe pozyskane w związku z prowadzeniem niniejszego postępowania o udzielenie zamówienia publicznego będą przechowywane, zgodnie z art. 78 ust. 1 PZP, przez okres 4 lat od dnia zakończenia postępowania o udzielenie zamówienia publicznego, a jeżeli czas trwania umowy przekracza 4 lata, okres przechowywania obejmuje cały czas trwania umowy w sprawie zamówienia publicznego,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Niezależnie od postanowień pkt 5, w przypadku zawarcia umowy w sprawie zamówienia publicznego, dane osobowe będą przetwarzane do upływu okresu przedawnienia roszczeń wynikających z umowy w sprawie zamówienia publicznego,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Obowiązek  podania przez Panią/Pana danych osobowych bezpośrednio Pani/Pana dotyczących jest wymogiem ustawowym określonym w przepisach ustawy Pzp, związanym z udziałem w postępowaniu o udzielenie zamówienia publicznego; konsekwencje niepodania określonych danych wynikają z ustawy Pzp,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W odniesieniu do Pani/Pana danych osobowych decyzje nie będą podejmowane w sposób zautomatyzowany, stosowanie do art. 22 RODO;</w:t>
      </w:r>
    </w:p>
    <w:p w:rsidR="00196C9E" w:rsidRPr="00196C9E" w:rsidRDefault="00196C9E" w:rsidP="00196C9E">
      <w:pPr>
        <w:numPr>
          <w:ilvl w:val="0"/>
          <w:numId w:val="14"/>
        </w:numPr>
        <w:autoSpaceDE w:val="0"/>
        <w:spacing w:after="160" w:line="259" w:lineRule="auto"/>
        <w:ind w:left="426" w:hanging="426"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Posiada Pani/Pan:</w:t>
      </w:r>
    </w:p>
    <w:p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na podstawie art. 15 RODO prawo dostępu do danych osobowych Pani/Pana dotyczących;</w:t>
      </w:r>
    </w:p>
    <w:p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na podstawie art. 16 RODO prawo do sprostowania Pani/Pana danych osobowych </w:t>
      </w:r>
      <w:r w:rsidRPr="00196C9E">
        <w:rPr>
          <w:rFonts w:ascii="Calibri Light" w:eastAsiaTheme="minorHAnsi" w:hAnsi="Calibri Light" w:cs="Calibri Light"/>
          <w:sz w:val="24"/>
          <w:szCs w:val="24"/>
          <w:vertAlign w:val="superscript"/>
          <w:lang w:eastAsia="en-US"/>
        </w:rPr>
        <w:t>**</w:t>
      </w: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;</w:t>
      </w:r>
    </w:p>
    <w:p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na podstawie art. 18 RODO prawo żądania od administratora ograniczenia przetwarzania danych osobowych z zastrzeżeniem przypadków, o których mowa w art. 18 ust. 2 RODO ***;  </w:t>
      </w:r>
    </w:p>
    <w:p w:rsidR="00196C9E" w:rsidRPr="00196C9E" w:rsidRDefault="00196C9E" w:rsidP="00196C9E">
      <w:pPr>
        <w:numPr>
          <w:ilvl w:val="0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prawo do wniesienia skargi do Prezesa Urzędu Ochrony Danych Osobowych, gdy uzna Pani/Pan, że przetwarzanie danych osobowych  Pani/Pana dotyczących narusza przepisy RODO;</w:t>
      </w:r>
    </w:p>
    <w:p w:rsidR="00196C9E" w:rsidRPr="00196C9E" w:rsidRDefault="00196C9E" w:rsidP="00196C9E">
      <w:pPr>
        <w:numPr>
          <w:ilvl w:val="0"/>
          <w:numId w:val="14"/>
        </w:numPr>
        <w:spacing w:after="160" w:line="259" w:lineRule="auto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lastRenderedPageBreak/>
        <w:t>Nie przysługuje Pani/Panu:</w:t>
      </w:r>
    </w:p>
    <w:p w:rsidR="00196C9E" w:rsidRPr="00196C9E" w:rsidRDefault="00196C9E" w:rsidP="00196C9E">
      <w:pPr>
        <w:numPr>
          <w:ilvl w:val="1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w związku z art. 17 ust. 3 lit. b, d lub e RODO prawo do usunięcia danych osobowych;</w:t>
      </w:r>
    </w:p>
    <w:p w:rsidR="00196C9E" w:rsidRPr="00196C9E" w:rsidRDefault="00196C9E" w:rsidP="00196C9E">
      <w:pPr>
        <w:numPr>
          <w:ilvl w:val="1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>prawo do przenoszenia danych osobowych, o którym mowa w art. 20 RODO;</w:t>
      </w:r>
    </w:p>
    <w:p w:rsidR="00196C9E" w:rsidRPr="00196C9E" w:rsidRDefault="00196C9E" w:rsidP="00196C9E">
      <w:pPr>
        <w:numPr>
          <w:ilvl w:val="1"/>
          <w:numId w:val="1"/>
        </w:numPr>
        <w:spacing w:after="160" w:line="259" w:lineRule="auto"/>
        <w:ind w:left="1843" w:hanging="567"/>
        <w:contextualSpacing/>
        <w:jc w:val="both"/>
        <w:rPr>
          <w:rFonts w:ascii="Calibri Light" w:eastAsiaTheme="minorHAnsi" w:hAnsi="Calibri Light" w:cs="Calibri Light"/>
          <w:i/>
          <w:sz w:val="24"/>
          <w:szCs w:val="24"/>
          <w:lang w:eastAsia="en-US"/>
        </w:rPr>
      </w:pPr>
      <w:r w:rsidRPr="00196C9E">
        <w:rPr>
          <w:rFonts w:ascii="Calibri Light" w:eastAsiaTheme="minorHAnsi" w:hAnsi="Calibri Light" w:cs="Calibri Light"/>
          <w:sz w:val="24"/>
          <w:szCs w:val="24"/>
          <w:lang w:eastAsia="en-US"/>
        </w:rPr>
        <w:t xml:space="preserve">na podstawie art. 21 RODO prawo sprzeciwu, wobec przetwarzania danych osobowych, gdyż podstawą prawną przetwarzania Pani/Pana danych osobowych jest art. 6 ust. 1 lit. c RODO. </w:t>
      </w:r>
    </w:p>
    <w:p w:rsidR="00196C9E" w:rsidRPr="00196C9E" w:rsidRDefault="00196C9E" w:rsidP="00196C9E">
      <w:pPr>
        <w:numPr>
          <w:ilvl w:val="0"/>
          <w:numId w:val="14"/>
        </w:numPr>
        <w:spacing w:after="160" w:line="259" w:lineRule="auto"/>
        <w:contextualSpacing/>
        <w:jc w:val="both"/>
        <w:rPr>
          <w:rFonts w:ascii="Calibri Light" w:eastAsiaTheme="minorHAnsi" w:hAnsi="Calibri Light" w:cs="Calibri Light"/>
          <w:sz w:val="24"/>
          <w:szCs w:val="24"/>
          <w:lang w:eastAsia="en-US"/>
        </w:rPr>
      </w:pPr>
      <w:bookmarkStart w:id="4" w:name="_Hlk62730175"/>
      <w:r w:rsidRPr="00196C9E">
        <w:rPr>
          <w:rFonts w:ascii="Calibri Light" w:eastAsiaTheme="minorHAnsi" w:hAnsi="Calibri Light" w:cs="Calibri Light"/>
          <w:bCs/>
          <w:sz w:val="24"/>
          <w:szCs w:val="24"/>
          <w:lang w:eastAsia="en-US"/>
        </w:rPr>
        <w:t>Dane osobowe mogą być przekazywane do organów publicznych i urzędów państwowych lub innych podmiotów upoważnionych na podstawie przepisów prawa lub wykonujących zadania realizowane w interesie publicznym lub w ramach sprawowania władzy publicznej, w szczególności do podmiotów prowadzących działalność kontrolną wobec Zamawiającego. Dane osobowe są przekazywane do podmiotów przetwarzających dane w imieniu administratora danych osobowych.</w:t>
      </w:r>
    </w:p>
    <w:p w:rsidR="00196C9E" w:rsidRPr="00196C9E" w:rsidRDefault="00196C9E" w:rsidP="00196C9E">
      <w:pPr>
        <w:spacing w:before="240" w:after="120" w:line="259" w:lineRule="auto"/>
        <w:ind w:left="1843" w:firstLine="0"/>
        <w:contextualSpacing/>
        <w:jc w:val="both"/>
        <w:rPr>
          <w:rFonts w:ascii="Cambria" w:eastAsiaTheme="minorHAnsi" w:hAnsi="Cambria" w:cstheme="majorHAnsi"/>
          <w:sz w:val="24"/>
          <w:szCs w:val="24"/>
          <w:lang w:eastAsia="en-US"/>
        </w:rPr>
      </w:pPr>
    </w:p>
    <w:p w:rsidR="00196C9E" w:rsidRPr="00196C9E" w:rsidRDefault="00196C9E" w:rsidP="00196C9E">
      <w:pPr>
        <w:spacing w:before="240" w:after="120" w:line="259" w:lineRule="auto"/>
        <w:ind w:left="2370" w:firstLine="0"/>
        <w:contextualSpacing/>
        <w:jc w:val="both"/>
        <w:rPr>
          <w:rFonts w:ascii="Cambria" w:eastAsiaTheme="minorHAnsi" w:hAnsi="Cambria" w:cstheme="majorHAnsi"/>
          <w:i/>
          <w:sz w:val="24"/>
          <w:szCs w:val="24"/>
          <w:lang w:eastAsia="en-US"/>
        </w:rPr>
      </w:pPr>
    </w:p>
    <w:bookmarkEnd w:id="4"/>
    <w:p w:rsidR="00196C9E" w:rsidRPr="00196C9E" w:rsidRDefault="00196C9E" w:rsidP="00196C9E">
      <w:pPr>
        <w:spacing w:before="240" w:after="120" w:line="259" w:lineRule="auto"/>
        <w:ind w:left="0" w:firstLine="0"/>
        <w:contextualSpacing/>
        <w:jc w:val="both"/>
        <w:rPr>
          <w:rFonts w:ascii="Cambria" w:eastAsiaTheme="minorHAnsi" w:hAnsi="Cambria" w:cstheme="majorHAnsi"/>
          <w:i/>
          <w:lang w:eastAsia="en-US"/>
        </w:rPr>
      </w:pPr>
      <w:r w:rsidRPr="00196C9E">
        <w:rPr>
          <w:rFonts w:ascii="Cambria" w:eastAsiaTheme="minorHAnsi" w:hAnsi="Cambria" w:cstheme="majorHAnsi"/>
          <w:b/>
          <w:i/>
          <w:sz w:val="24"/>
          <w:szCs w:val="24"/>
          <w:vertAlign w:val="superscript"/>
          <w:lang w:eastAsia="en-US"/>
        </w:rPr>
        <w:t>*</w:t>
      </w:r>
      <w:r w:rsidRPr="00196C9E">
        <w:rPr>
          <w:rFonts w:ascii="Cambria" w:eastAsiaTheme="minorHAnsi" w:hAnsi="Cambria" w:cstheme="majorHAnsi"/>
          <w:b/>
          <w:i/>
          <w:lang w:eastAsia="en-US"/>
        </w:rPr>
        <w:t>Wyjaśnienie:</w:t>
      </w:r>
      <w:r w:rsidRPr="00196C9E">
        <w:rPr>
          <w:rFonts w:ascii="Cambria" w:eastAsiaTheme="minorHAnsi" w:hAnsi="Cambria" w:cstheme="majorHAnsi"/>
          <w:i/>
          <w:lang w:eastAsia="en-US"/>
        </w:rPr>
        <w:t xml:space="preserve"> informacja w tym zakresie jest wymagana, jeżeli w odniesieniu do danego administratora lub podmiotu przetwarzającego istnieje obowiązek wyznaczenia inspektora ochrony danych osobowych.</w:t>
      </w:r>
    </w:p>
    <w:p w:rsidR="00196C9E" w:rsidRPr="00196C9E" w:rsidRDefault="00196C9E" w:rsidP="00196C9E">
      <w:pPr>
        <w:spacing w:before="240" w:after="120" w:line="259" w:lineRule="auto"/>
        <w:ind w:left="0" w:firstLine="0"/>
        <w:contextualSpacing/>
        <w:jc w:val="both"/>
        <w:rPr>
          <w:rFonts w:ascii="Cambria" w:eastAsiaTheme="minorHAnsi" w:hAnsi="Cambria" w:cstheme="majorHAnsi"/>
          <w:i/>
          <w:lang w:eastAsia="en-US"/>
        </w:rPr>
      </w:pPr>
      <w:r w:rsidRPr="00196C9E">
        <w:rPr>
          <w:rFonts w:ascii="Cambria" w:eastAsiaTheme="minorHAnsi" w:hAnsi="Cambria" w:cstheme="majorHAnsi"/>
          <w:b/>
          <w:i/>
          <w:vertAlign w:val="superscript"/>
          <w:lang w:eastAsia="en-US"/>
        </w:rPr>
        <w:t xml:space="preserve">** </w:t>
      </w:r>
      <w:r w:rsidRPr="00196C9E">
        <w:rPr>
          <w:rFonts w:ascii="Cambria" w:eastAsiaTheme="minorHAnsi" w:hAnsi="Cambria" w:cstheme="majorHAnsi"/>
          <w:b/>
          <w:i/>
          <w:lang w:eastAsia="en-US"/>
        </w:rPr>
        <w:t>Wyjaśnienie:</w:t>
      </w:r>
      <w:r w:rsidRPr="00196C9E">
        <w:rPr>
          <w:rFonts w:ascii="Cambria" w:eastAsiaTheme="minorHAnsi" w:hAnsi="Cambria" w:cstheme="majorHAnsi"/>
          <w:i/>
          <w:lang w:eastAsia="en-US"/>
        </w:rPr>
        <w:t xml:space="preserve"> skorzystanie z prawa do sprostowania nie może skutkować zmianą wyniku postępowania</w:t>
      </w:r>
      <w:r w:rsidRPr="00196C9E">
        <w:rPr>
          <w:rFonts w:ascii="Cambria" w:eastAsiaTheme="minorHAnsi" w:hAnsi="Cambria" w:cstheme="majorHAnsi"/>
          <w:i/>
          <w:lang w:eastAsia="en-US"/>
        </w:rPr>
        <w:br/>
        <w:t>o udzielenie zamówienia publicznego ani zmianą postanowień umowy w zakresie niezgodnym z ustawą Pzp oraz nie może naruszać integralności protokołu oraz jego załączników.</w:t>
      </w:r>
    </w:p>
    <w:p w:rsidR="00196C9E" w:rsidRPr="00196C9E" w:rsidRDefault="00196C9E" w:rsidP="00196C9E">
      <w:pPr>
        <w:spacing w:before="240" w:after="120" w:line="259" w:lineRule="auto"/>
        <w:ind w:left="0" w:firstLine="0"/>
        <w:contextualSpacing/>
        <w:jc w:val="both"/>
        <w:rPr>
          <w:rFonts w:ascii="Cambria" w:eastAsiaTheme="minorHAnsi" w:hAnsi="Cambria" w:cstheme="majorHAnsi"/>
          <w:i/>
          <w:lang w:eastAsia="en-US"/>
        </w:rPr>
      </w:pPr>
      <w:r w:rsidRPr="00196C9E">
        <w:rPr>
          <w:rFonts w:ascii="Cambria" w:eastAsiaTheme="minorHAnsi" w:hAnsi="Cambria" w:cstheme="majorHAnsi"/>
          <w:b/>
          <w:i/>
          <w:vertAlign w:val="superscript"/>
          <w:lang w:eastAsia="en-US"/>
        </w:rPr>
        <w:t xml:space="preserve">***  </w:t>
      </w:r>
      <w:r w:rsidRPr="00196C9E">
        <w:rPr>
          <w:rFonts w:ascii="Cambria" w:eastAsiaTheme="minorHAnsi" w:hAnsi="Cambria" w:cstheme="majorHAnsi"/>
          <w:b/>
          <w:i/>
          <w:lang w:eastAsia="en-US"/>
        </w:rPr>
        <w:t>Wyjaśnienie:</w:t>
      </w:r>
      <w:r w:rsidRPr="00196C9E">
        <w:rPr>
          <w:rFonts w:ascii="Cambria" w:eastAsiaTheme="minorHAnsi" w:hAnsi="Cambria" w:cstheme="majorHAnsi"/>
          <w:i/>
          <w:lang w:eastAsia="en-US"/>
        </w:rPr>
        <w:t xml:space="preserve"> prawo do ograniczenia przetwarzania nie ma zastosowania w odniesieniu do przechowywania, w celu zapewnienia korzystania ze środków ochrony prawnej lub w celu ochrony praw innej osoby fizycznej lub prawnej, lub z uwagi na ważne względy interesu publicznego Unii Europejskiej lub państwa członkowskiego.</w:t>
      </w:r>
    </w:p>
    <w:bookmarkEnd w:id="2"/>
    <w:p w:rsidR="00C272AA" w:rsidRPr="00196C9E" w:rsidRDefault="00C272AA" w:rsidP="00196C9E"/>
    <w:sectPr w:rsidR="00C272AA" w:rsidRPr="00196C9E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6DC2" w:rsidRDefault="00336DC2" w:rsidP="00096341">
      <w:r>
        <w:separator/>
      </w:r>
    </w:p>
  </w:endnote>
  <w:endnote w:type="continuationSeparator" w:id="0">
    <w:p w:rsidR="00336DC2" w:rsidRDefault="00336DC2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BCEF0CC8-97F5-4169-A828-D9626A1197E7}"/>
    <w:embedItalic r:id="rId2" w:fontKey="{DCF47E72-B0AA-4B90-A7AF-A39A551A0966}"/>
    <w:embedBoldItalic r:id="rId3" w:fontKey="{7F924913-0F6B-4C4D-87ED-7EB3E883422E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E147DA55-28E9-4D7C-AC21-37D3D6AAAAC2}"/>
    <w:embedBold r:id="rId5" w:fontKey="{FB58D1B7-334A-42E4-A39B-9592D207C0BB}"/>
    <w:embedItalic r:id="rId6" w:fontKey="{F8E73800-FF01-4890-96ED-D6B6C85DE28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23CB" w:rsidRDefault="00A323C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23CB" w:rsidRDefault="00A323CB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23CB" w:rsidRDefault="00A323C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6DC2" w:rsidRDefault="00336DC2" w:rsidP="00096341">
      <w:r>
        <w:separator/>
      </w:r>
    </w:p>
  </w:footnote>
  <w:footnote w:type="continuationSeparator" w:id="0">
    <w:p w:rsidR="00336DC2" w:rsidRDefault="00336DC2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23CB" w:rsidRDefault="00A323CB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:rsidR="00096341" w:rsidRPr="008C4214" w:rsidRDefault="00196C9E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F55193"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„Zakup energii elektrycznej na potrzeby </w:t>
    </w:r>
    <w:r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oświetlenia przestrzeni publicznej                         i </w:t>
    </w:r>
    <w:r w:rsidRPr="00F55193"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obiektów Gminy </w:t>
    </w:r>
    <w:r w:rsidR="0076386F">
      <w:rPr>
        <w:rFonts w:ascii="Calibri Light" w:eastAsiaTheme="majorEastAsia" w:hAnsi="Calibri Light" w:cs="Calibri Light"/>
        <w:b/>
        <w:caps/>
        <w:spacing w:val="20"/>
        <w:lang w:eastAsia="en-US"/>
      </w:rPr>
      <w:t>kietrz</w:t>
    </w:r>
    <w:r w:rsidRPr="00F55193"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 i jej jednostek organizacyjnych”</w:t>
    </w:r>
    <w:r w:rsidRPr="004607A1">
      <w:rPr>
        <w:rFonts w:ascii="Calibri Light" w:eastAsiaTheme="majorEastAsia" w:hAnsi="Calibri Light" w:cs="Calibri Light"/>
        <w:b/>
        <w:caps/>
        <w:spacing w:val="20"/>
        <w:lang w:eastAsia="en-US"/>
      </w:rPr>
      <w:t>.</w:t>
    </w:r>
    <w:r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                                                                                     </w:t>
    </w:r>
    <w:r w:rsidR="002319EA" w:rsidRPr="00331A88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>Klauzula rodo</w:t>
    </w:r>
  </w:p>
  <w:p w:rsidR="008C4214" w:rsidRPr="008C4214" w:rsidRDefault="003F5BA2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</w:rPr>
      <w:t>Nr sprawy</w:t>
    </w:r>
    <w:r w:rsidR="0076386F">
      <w:rPr>
        <w:rFonts w:asciiTheme="majorHAnsi" w:eastAsiaTheme="majorEastAsia" w:hAnsiTheme="majorHAnsi" w:cstheme="majorHAnsi"/>
        <w:b/>
        <w:caps/>
        <w:spacing w:val="20"/>
        <w:kern w:val="1"/>
      </w:rPr>
      <w:t>: P-14</w:t>
    </w:r>
    <w:r w:rsidR="002C2D0B">
      <w:rPr>
        <w:rFonts w:asciiTheme="majorHAnsi" w:eastAsiaTheme="majorEastAsia" w:hAnsiTheme="majorHAnsi" w:cstheme="majorHAnsi"/>
        <w:b/>
        <w:caps/>
        <w:spacing w:val="20"/>
        <w:kern w:val="1"/>
      </w:rPr>
      <w:t>/2022</w:t>
    </w:r>
  </w:p>
  <w:p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23CB" w:rsidRDefault="00A323CB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2351C73"/>
    <w:multiLevelType w:val="multilevel"/>
    <w:tmpl w:val="F432C98A"/>
    <w:name w:val="WWNum23222222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mbria" w:hAnsi="Cambria" w:cs="Times New Roman" w:hint="default"/>
        <w:b w:val="0"/>
        <w:i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</w:abstractNum>
  <w:abstractNum w:abstractNumId="2" w15:restartNumberingAfterBreak="0">
    <w:nsid w:val="12D2435B"/>
    <w:multiLevelType w:val="hybridMultilevel"/>
    <w:tmpl w:val="334434D4"/>
    <w:lvl w:ilvl="0" w:tplc="13D67DBE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7B05D0"/>
    <w:multiLevelType w:val="hybridMultilevel"/>
    <w:tmpl w:val="80B65AE0"/>
    <w:lvl w:ilvl="0" w:tplc="D334F950">
      <w:start w:val="1"/>
      <w:numFmt w:val="lowerLetter"/>
      <w:lvlText w:val="%1)"/>
      <w:lvlJc w:val="left"/>
      <w:pPr>
        <w:ind w:left="2487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3207" w:hanging="360"/>
      </w:pPr>
    </w:lvl>
    <w:lvl w:ilvl="2" w:tplc="0415001B" w:tentative="1">
      <w:start w:val="1"/>
      <w:numFmt w:val="lowerRoman"/>
      <w:lvlText w:val="%3."/>
      <w:lvlJc w:val="right"/>
      <w:pPr>
        <w:ind w:left="3927" w:hanging="180"/>
      </w:pPr>
    </w:lvl>
    <w:lvl w:ilvl="3" w:tplc="0415000F" w:tentative="1">
      <w:start w:val="1"/>
      <w:numFmt w:val="decimal"/>
      <w:lvlText w:val="%4."/>
      <w:lvlJc w:val="left"/>
      <w:pPr>
        <w:ind w:left="4647" w:hanging="360"/>
      </w:pPr>
    </w:lvl>
    <w:lvl w:ilvl="4" w:tplc="04150019" w:tentative="1">
      <w:start w:val="1"/>
      <w:numFmt w:val="lowerLetter"/>
      <w:lvlText w:val="%5."/>
      <w:lvlJc w:val="left"/>
      <w:pPr>
        <w:ind w:left="5367" w:hanging="360"/>
      </w:pPr>
    </w:lvl>
    <w:lvl w:ilvl="5" w:tplc="0415001B" w:tentative="1">
      <w:start w:val="1"/>
      <w:numFmt w:val="lowerRoman"/>
      <w:lvlText w:val="%6."/>
      <w:lvlJc w:val="right"/>
      <w:pPr>
        <w:ind w:left="6087" w:hanging="180"/>
      </w:pPr>
    </w:lvl>
    <w:lvl w:ilvl="6" w:tplc="0415000F" w:tentative="1">
      <w:start w:val="1"/>
      <w:numFmt w:val="decimal"/>
      <w:lvlText w:val="%7."/>
      <w:lvlJc w:val="left"/>
      <w:pPr>
        <w:ind w:left="6807" w:hanging="360"/>
      </w:pPr>
    </w:lvl>
    <w:lvl w:ilvl="7" w:tplc="04150019" w:tentative="1">
      <w:start w:val="1"/>
      <w:numFmt w:val="lowerLetter"/>
      <w:lvlText w:val="%8."/>
      <w:lvlJc w:val="left"/>
      <w:pPr>
        <w:ind w:left="7527" w:hanging="360"/>
      </w:pPr>
    </w:lvl>
    <w:lvl w:ilvl="8" w:tplc="0415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4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30F020F4"/>
    <w:multiLevelType w:val="hybridMultilevel"/>
    <w:tmpl w:val="F30C99FA"/>
    <w:lvl w:ilvl="0" w:tplc="AFC48DC0">
      <w:start w:val="2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CB7112"/>
    <w:multiLevelType w:val="hybridMultilevel"/>
    <w:tmpl w:val="30AC7CC0"/>
    <w:lvl w:ilvl="0" w:tplc="A024EF86">
      <w:start w:val="9"/>
      <w:numFmt w:val="decimal"/>
      <w:lvlText w:val="%1)"/>
      <w:lvlJc w:val="left"/>
      <w:pPr>
        <w:ind w:left="24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9" w15:restartNumberingAfterBreak="0">
    <w:nsid w:val="61F9506C"/>
    <w:multiLevelType w:val="hybridMultilevel"/>
    <w:tmpl w:val="44C00692"/>
    <w:lvl w:ilvl="0" w:tplc="FFFFFFFF">
      <w:start w:val="1"/>
      <w:numFmt w:val="decimal"/>
      <w:lvlText w:val="%1."/>
      <w:lvlJc w:val="left"/>
      <w:pPr>
        <w:ind w:left="862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D175E1B"/>
    <w:multiLevelType w:val="hybridMultilevel"/>
    <w:tmpl w:val="159EA9A2"/>
    <w:lvl w:ilvl="0" w:tplc="FF4E0772">
      <w:start w:val="8"/>
      <w:numFmt w:val="decimal"/>
      <w:lvlText w:val="%1)"/>
      <w:lvlJc w:val="left"/>
      <w:pPr>
        <w:ind w:left="2487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A2437D"/>
    <w:multiLevelType w:val="hybridMultilevel"/>
    <w:tmpl w:val="197E5750"/>
    <w:lvl w:ilvl="0" w:tplc="10F023F8">
      <w:start w:val="1"/>
      <w:numFmt w:val="lowerLetter"/>
      <w:lvlText w:val="%1)"/>
      <w:lvlJc w:val="left"/>
      <w:pPr>
        <w:ind w:left="2487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3207" w:hanging="360"/>
      </w:pPr>
    </w:lvl>
    <w:lvl w:ilvl="2" w:tplc="0415001B" w:tentative="1">
      <w:start w:val="1"/>
      <w:numFmt w:val="lowerRoman"/>
      <w:lvlText w:val="%3."/>
      <w:lvlJc w:val="right"/>
      <w:pPr>
        <w:ind w:left="3927" w:hanging="180"/>
      </w:pPr>
    </w:lvl>
    <w:lvl w:ilvl="3" w:tplc="0415000F" w:tentative="1">
      <w:start w:val="1"/>
      <w:numFmt w:val="decimal"/>
      <w:lvlText w:val="%4."/>
      <w:lvlJc w:val="left"/>
      <w:pPr>
        <w:ind w:left="4647" w:hanging="360"/>
      </w:pPr>
    </w:lvl>
    <w:lvl w:ilvl="4" w:tplc="04150019" w:tentative="1">
      <w:start w:val="1"/>
      <w:numFmt w:val="lowerLetter"/>
      <w:lvlText w:val="%5."/>
      <w:lvlJc w:val="left"/>
      <w:pPr>
        <w:ind w:left="5367" w:hanging="360"/>
      </w:pPr>
    </w:lvl>
    <w:lvl w:ilvl="5" w:tplc="0415001B" w:tentative="1">
      <w:start w:val="1"/>
      <w:numFmt w:val="lowerRoman"/>
      <w:lvlText w:val="%6."/>
      <w:lvlJc w:val="right"/>
      <w:pPr>
        <w:ind w:left="6087" w:hanging="180"/>
      </w:pPr>
    </w:lvl>
    <w:lvl w:ilvl="6" w:tplc="0415000F" w:tentative="1">
      <w:start w:val="1"/>
      <w:numFmt w:val="decimal"/>
      <w:lvlText w:val="%7."/>
      <w:lvlJc w:val="left"/>
      <w:pPr>
        <w:ind w:left="6807" w:hanging="360"/>
      </w:pPr>
    </w:lvl>
    <w:lvl w:ilvl="7" w:tplc="04150019" w:tentative="1">
      <w:start w:val="1"/>
      <w:numFmt w:val="lowerLetter"/>
      <w:lvlText w:val="%8."/>
      <w:lvlJc w:val="left"/>
      <w:pPr>
        <w:ind w:left="7527" w:hanging="360"/>
      </w:pPr>
    </w:lvl>
    <w:lvl w:ilvl="8" w:tplc="0415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12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13"/>
  </w:num>
  <w:num w:numId="2">
    <w:abstractNumId w:val="8"/>
  </w:num>
  <w:num w:numId="3">
    <w:abstractNumId w:val="0"/>
  </w:num>
  <w:num w:numId="4">
    <w:abstractNumId w:val="4"/>
  </w:num>
  <w:num w:numId="5">
    <w:abstractNumId w:val="7"/>
  </w:num>
  <w:num w:numId="6">
    <w:abstractNumId w:val="12"/>
  </w:num>
  <w:num w:numId="7">
    <w:abstractNumId w:val="3"/>
  </w:num>
  <w:num w:numId="8">
    <w:abstractNumId w:val="11"/>
  </w:num>
  <w:num w:numId="9">
    <w:abstractNumId w:val="5"/>
  </w:num>
  <w:num w:numId="10">
    <w:abstractNumId w:val="6"/>
  </w:num>
  <w:num w:numId="11">
    <w:abstractNumId w:val="2"/>
  </w:num>
  <w:num w:numId="12">
    <w:abstractNumId w:val="10"/>
  </w:num>
  <w:num w:numId="13">
    <w:abstractNumId w:val="9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92B"/>
    <w:rsid w:val="000054C6"/>
    <w:rsid w:val="000257A2"/>
    <w:rsid w:val="000426C3"/>
    <w:rsid w:val="00096341"/>
    <w:rsid w:val="000B5A80"/>
    <w:rsid w:val="00105FEB"/>
    <w:rsid w:val="00140E5E"/>
    <w:rsid w:val="00147511"/>
    <w:rsid w:val="00153FD0"/>
    <w:rsid w:val="0018370A"/>
    <w:rsid w:val="00196C9E"/>
    <w:rsid w:val="002319EA"/>
    <w:rsid w:val="002C2D0B"/>
    <w:rsid w:val="00331A88"/>
    <w:rsid w:val="00336DC2"/>
    <w:rsid w:val="003F5BA2"/>
    <w:rsid w:val="00403584"/>
    <w:rsid w:val="00431991"/>
    <w:rsid w:val="004564C0"/>
    <w:rsid w:val="00466A32"/>
    <w:rsid w:val="004A6E94"/>
    <w:rsid w:val="005401D5"/>
    <w:rsid w:val="005A0C65"/>
    <w:rsid w:val="006B3C7F"/>
    <w:rsid w:val="007076D0"/>
    <w:rsid w:val="00715D83"/>
    <w:rsid w:val="0076386F"/>
    <w:rsid w:val="00797883"/>
    <w:rsid w:val="007A424A"/>
    <w:rsid w:val="007B64CC"/>
    <w:rsid w:val="007D5CBD"/>
    <w:rsid w:val="007F2369"/>
    <w:rsid w:val="0083792B"/>
    <w:rsid w:val="008C4214"/>
    <w:rsid w:val="009102F3"/>
    <w:rsid w:val="00921F79"/>
    <w:rsid w:val="00954CE2"/>
    <w:rsid w:val="009B032C"/>
    <w:rsid w:val="009D3696"/>
    <w:rsid w:val="00A22C40"/>
    <w:rsid w:val="00A323CB"/>
    <w:rsid w:val="00A6139D"/>
    <w:rsid w:val="00A97A81"/>
    <w:rsid w:val="00B57050"/>
    <w:rsid w:val="00B801F5"/>
    <w:rsid w:val="00BA18CC"/>
    <w:rsid w:val="00BD3724"/>
    <w:rsid w:val="00C05045"/>
    <w:rsid w:val="00C272AA"/>
    <w:rsid w:val="00C53ADE"/>
    <w:rsid w:val="00C76E14"/>
    <w:rsid w:val="00C91A49"/>
    <w:rsid w:val="00D261A2"/>
    <w:rsid w:val="00D535B8"/>
    <w:rsid w:val="00D67AF9"/>
    <w:rsid w:val="00D72C8D"/>
    <w:rsid w:val="00D76599"/>
    <w:rsid w:val="00D95281"/>
    <w:rsid w:val="00E0403F"/>
    <w:rsid w:val="00E52089"/>
    <w:rsid w:val="00E97694"/>
    <w:rsid w:val="00EA1061"/>
    <w:rsid w:val="00EE437E"/>
    <w:rsid w:val="00EF1273"/>
    <w:rsid w:val="00F67D2A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562</Words>
  <Characters>3374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Konto Microsoft</cp:lastModifiedBy>
  <cp:revision>4</cp:revision>
  <dcterms:created xsi:type="dcterms:W3CDTF">2022-11-19T17:14:00Z</dcterms:created>
  <dcterms:modified xsi:type="dcterms:W3CDTF">2022-11-22T17:02:00Z</dcterms:modified>
</cp:coreProperties>
</file>