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5372044" w:rsid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EC6058">
        <w:rPr>
          <w:rFonts w:ascii="Calibri" w:eastAsia="Times New Roman" w:hAnsi="Calibri" w:cs="Calibri"/>
          <w:snapToGrid w:val="0"/>
          <w:lang w:val="pl-PL"/>
        </w:rPr>
        <w:t>1</w:t>
      </w:r>
      <w:r w:rsidR="001B729F"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</w:t>
      </w:r>
      <w:r w:rsidR="00EC60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0793F14F" w:rsidR="00A074A6" w:rsidRPr="00A074A6" w:rsidRDefault="00A074A6" w:rsidP="00C4356F">
      <w:pPr>
        <w:widowControl w:val="0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EC6058">
        <w:rPr>
          <w:rFonts w:ascii="Calibri" w:eastAsia="Times New Roman" w:hAnsi="Calibri" w:cs="Calibri"/>
          <w:snapToGrid w:val="0"/>
          <w:lang w:val="pl-PL"/>
        </w:rPr>
        <w:t>4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EC6058">
        <w:rPr>
          <w:rFonts w:ascii="Calibri" w:eastAsia="Times New Roman" w:hAnsi="Calibri" w:cs="Calibri"/>
          <w:snapToGrid w:val="0"/>
          <w:lang w:val="pl-PL"/>
        </w:rPr>
        <w:t>3</w:t>
      </w:r>
    </w:p>
    <w:p w14:paraId="60B08F7F" w14:textId="77777777" w:rsidR="00A074A6" w:rsidRDefault="00A074A6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46EBD0A" w14:textId="77777777" w:rsidR="00426560" w:rsidRPr="00A074A6" w:rsidRDefault="00426560" w:rsidP="00C4356F">
      <w:pPr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C4356F">
      <w:pPr>
        <w:autoSpaceDE w:val="0"/>
        <w:autoSpaceDN w:val="0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C4356F">
      <w:pPr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5F100ACF" w:rsidR="00A074A6" w:rsidRPr="00042F79" w:rsidRDefault="00A074A6" w:rsidP="00C4356F">
      <w:pPr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EC6058" w:rsidRPr="00EC6058">
        <w:rPr>
          <w:rFonts w:ascii="Calibri" w:eastAsia="Calibri" w:hAnsi="Calibri" w:cs="Calibri"/>
          <w:bCs/>
          <w:i/>
          <w:iCs/>
          <w:lang w:val="pl-PL" w:eastAsia="en-US"/>
        </w:rPr>
        <w:t>Modernizacja boiska sportowego przy Zespole Szkół im. S. Staszica w Nakle nad Notecią</w:t>
      </w:r>
    </w:p>
    <w:p w14:paraId="4078280D" w14:textId="77777777" w:rsidR="00A074A6" w:rsidRPr="00A074A6" w:rsidRDefault="00A074A6" w:rsidP="00C4356F">
      <w:pPr>
        <w:widowControl w:val="0"/>
        <w:jc w:val="both"/>
        <w:rPr>
          <w:rFonts w:ascii="Calibri" w:eastAsia="Times New Roman" w:hAnsi="Calibri" w:cs="Calibri"/>
          <w:b/>
          <w:lang w:val="pl-PL"/>
        </w:rPr>
      </w:pPr>
    </w:p>
    <w:p w14:paraId="3E5FE6E1" w14:textId="77777777" w:rsidR="00F35565" w:rsidRDefault="00F35565" w:rsidP="00C4356F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</w:p>
    <w:p w14:paraId="30CCBD43" w14:textId="32E3AF56" w:rsidR="00F35565" w:rsidRPr="00F35565" w:rsidRDefault="00F35565" w:rsidP="00F35565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F35565">
        <w:rPr>
          <w:rFonts w:ascii="Calibri" w:eastAsia="Calibri" w:hAnsi="Calibri" w:cs="Calibri"/>
          <w:lang w:val="pl-PL" w:eastAsia="en-US"/>
        </w:rPr>
        <w:t>Zamawiający informuje, że w dniu 1</w:t>
      </w:r>
      <w:r>
        <w:rPr>
          <w:rFonts w:ascii="Calibri" w:eastAsia="Calibri" w:hAnsi="Calibri" w:cs="Calibri"/>
          <w:lang w:val="pl-PL" w:eastAsia="en-US"/>
        </w:rPr>
        <w:t>7</w:t>
      </w:r>
      <w:r w:rsidRPr="00F35565">
        <w:rPr>
          <w:rFonts w:ascii="Calibri" w:eastAsia="Calibri" w:hAnsi="Calibri" w:cs="Calibri"/>
          <w:lang w:val="pl-PL" w:eastAsia="en-US"/>
        </w:rPr>
        <w:t>.0</w:t>
      </w:r>
      <w:r>
        <w:rPr>
          <w:rFonts w:ascii="Calibri" w:eastAsia="Calibri" w:hAnsi="Calibri" w:cs="Calibri"/>
          <w:lang w:val="pl-PL" w:eastAsia="en-US"/>
        </w:rPr>
        <w:t>4</w:t>
      </w:r>
      <w:r w:rsidRPr="00F35565">
        <w:rPr>
          <w:rFonts w:ascii="Calibri" w:eastAsia="Calibri" w:hAnsi="Calibri" w:cs="Calibri"/>
          <w:lang w:val="pl-PL" w:eastAsia="en-US"/>
        </w:rPr>
        <w:t>.202</w:t>
      </w:r>
      <w:r>
        <w:rPr>
          <w:rFonts w:ascii="Calibri" w:eastAsia="Calibri" w:hAnsi="Calibri" w:cs="Calibri"/>
          <w:lang w:val="pl-PL" w:eastAsia="en-US"/>
        </w:rPr>
        <w:t>3</w:t>
      </w:r>
      <w:r w:rsidRPr="00F35565">
        <w:rPr>
          <w:rFonts w:ascii="Calibri" w:eastAsia="Calibri" w:hAnsi="Calibri" w:cs="Calibri"/>
          <w:lang w:val="pl-PL" w:eastAsia="en-US"/>
        </w:rPr>
        <w:t xml:space="preserve"> r. wykonawca zwrócił się do zamawiającego </w:t>
      </w:r>
      <w:r w:rsidRPr="00F35565">
        <w:rPr>
          <w:rFonts w:ascii="Calibri" w:eastAsia="Calibri" w:hAnsi="Calibri" w:cs="Calibri"/>
          <w:lang w:val="pl-PL" w:eastAsia="en-US"/>
        </w:rPr>
        <w:br/>
        <w:t xml:space="preserve">z wnioskiem o wyjaśnienie treści </w:t>
      </w:r>
      <w:r>
        <w:rPr>
          <w:rFonts w:ascii="Calibri" w:eastAsia="Calibri" w:hAnsi="Calibri" w:cs="Calibri"/>
          <w:lang w:val="pl-PL" w:eastAsia="en-US"/>
        </w:rPr>
        <w:t>specyfikacji warunków zamówienia</w:t>
      </w:r>
      <w:r w:rsidRPr="00F35565">
        <w:rPr>
          <w:rFonts w:ascii="Calibri" w:eastAsia="Calibri" w:hAnsi="Calibri" w:cs="Calibri"/>
          <w:lang w:val="pl-PL" w:eastAsia="en-US"/>
        </w:rPr>
        <w:t>. Zgodnie z art. 284 ust. 4 i 5 ustawy z 11 września 2019 r. – Prawo zamówień publicznych (Dz.U. z 202</w:t>
      </w:r>
      <w:r>
        <w:rPr>
          <w:rFonts w:ascii="Calibri" w:eastAsia="Calibri" w:hAnsi="Calibri" w:cs="Calibri"/>
          <w:lang w:val="pl-PL" w:eastAsia="en-US"/>
        </w:rPr>
        <w:t>2</w:t>
      </w:r>
      <w:r w:rsidRPr="00F35565">
        <w:rPr>
          <w:rFonts w:ascii="Calibri" w:eastAsia="Calibri" w:hAnsi="Calibri" w:cs="Calibri"/>
          <w:lang w:val="pl-PL" w:eastAsia="en-US"/>
        </w:rPr>
        <w:t xml:space="preserve"> r. poz. </w:t>
      </w:r>
      <w:r>
        <w:rPr>
          <w:rFonts w:ascii="Calibri" w:eastAsia="Calibri" w:hAnsi="Calibri" w:cs="Calibri"/>
          <w:lang w:val="pl-PL" w:eastAsia="en-US"/>
        </w:rPr>
        <w:t>1710</w:t>
      </w:r>
      <w:r w:rsidRPr="00F35565">
        <w:rPr>
          <w:rFonts w:ascii="Calibri" w:eastAsia="Calibri" w:hAnsi="Calibri" w:cs="Calibri"/>
          <w:lang w:val="pl-PL" w:eastAsia="en-US"/>
        </w:rPr>
        <w:t xml:space="preserve"> ze zm.), zamawiający nie ma obowiązku udzielania wyjaśnień, jednakże postanowił odnieść się do wniosku:</w:t>
      </w:r>
    </w:p>
    <w:p w14:paraId="41A5255B" w14:textId="77777777" w:rsidR="00F35565" w:rsidRDefault="00F35565" w:rsidP="00C4356F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</w:p>
    <w:p w14:paraId="70276D1B" w14:textId="5B64D2E3" w:rsidR="00C2460E" w:rsidRDefault="00A074A6" w:rsidP="00EE594C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0" w:name="_Hlk111622683"/>
      <w:r w:rsidRPr="00E10E74">
        <w:rPr>
          <w:rFonts w:ascii="Calibri" w:eastAsia="Calibri" w:hAnsi="Calibri" w:cs="Calibri"/>
          <w:b/>
          <w:bCs/>
          <w:lang w:val="pl-PL" w:eastAsia="en-US"/>
        </w:rPr>
        <w:t>Pytanie</w:t>
      </w:r>
      <w:r w:rsidR="00F35565">
        <w:rPr>
          <w:rFonts w:ascii="Calibri" w:eastAsia="Calibri" w:hAnsi="Calibri" w:cs="Calibri"/>
          <w:b/>
          <w:bCs/>
          <w:lang w:val="pl-PL" w:eastAsia="en-US"/>
        </w:rPr>
        <w:t xml:space="preserve"> wykonawcy</w:t>
      </w:r>
      <w:r w:rsidRPr="00E10E74">
        <w:rPr>
          <w:rFonts w:ascii="Calibri" w:eastAsia="Calibri" w:hAnsi="Calibri" w:cs="Calibri"/>
          <w:b/>
          <w:bCs/>
          <w:lang w:val="pl-PL" w:eastAsia="en-US"/>
        </w:rPr>
        <w:t>:</w:t>
      </w:r>
    </w:p>
    <w:p w14:paraId="34FBBB38" w14:textId="00901B6D" w:rsidR="00F35565" w:rsidRPr="00F35565" w:rsidRDefault="00F35565" w:rsidP="00EE594C">
      <w:pPr>
        <w:jc w:val="both"/>
        <w:rPr>
          <w:rFonts w:ascii="Calibri" w:eastAsia="Calibri" w:hAnsi="Calibri" w:cs="Calibri"/>
          <w:lang w:val="pl-PL" w:eastAsia="en-US"/>
        </w:rPr>
      </w:pPr>
      <w:r w:rsidRPr="00F35565">
        <w:rPr>
          <w:rFonts w:ascii="Calibri" w:eastAsia="Calibri" w:hAnsi="Calibri" w:cs="Calibri"/>
          <w:lang w:val="pl-PL" w:eastAsia="en-US"/>
        </w:rPr>
        <w:t>Na nasz wniosek o treści:</w:t>
      </w:r>
    </w:p>
    <w:bookmarkEnd w:id="0"/>
    <w:p w14:paraId="48B93149" w14:textId="75D054E8" w:rsidR="00E10E74" w:rsidRPr="00E10E74" w:rsidRDefault="00F35565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>„</w:t>
      </w:r>
      <w:r w:rsidR="00E10E74" w:rsidRPr="00E10E74">
        <w:rPr>
          <w:rFonts w:ascii="Calibri" w:eastAsia="Calibri" w:hAnsi="Calibri" w:cs="Times New Roman"/>
          <w:lang w:val="pl-PL" w:eastAsia="en-US"/>
        </w:rPr>
        <w:t>Projekt przyjmuje kolorystykę dla nawierzchni PU</w:t>
      </w:r>
    </w:p>
    <w:p w14:paraId="03A489BA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noProof/>
          <w:lang w:val="pl-PL" w:eastAsia="en-US"/>
        </w:rPr>
        <w:drawing>
          <wp:inline distT="0" distB="0" distL="0" distR="0" wp14:anchorId="42C3E1CC" wp14:editId="637F9A1E">
            <wp:extent cx="5382260" cy="678815"/>
            <wp:effectExtent l="0" t="0" r="889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4DA1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Przyjęta kolorystyka nawierzchni PU jest wadliwa.</w:t>
      </w:r>
    </w:p>
    <w:p w14:paraId="09630803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Po pierwsze nie jest dostępny granulat EPDM w RAL 6010, 2010, 2000.</w:t>
      </w:r>
    </w:p>
    <w:p w14:paraId="37370B7F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Po drugie granulaty EPDM w kolorze pomarańczowym nie są już praktycznie stosowane dla tego typu nawierzchni ponieważ granulat EPDM w kolorze pomarańczowym nie jest odporny dla promieniowanie UV.</w:t>
      </w:r>
    </w:p>
    <w:p w14:paraId="55C0C7A6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Konieczna jest zmiana kolorystyki na kolory dostępne dla granulatów EPDM.</w:t>
      </w:r>
    </w:p>
    <w:p w14:paraId="5FB81434" w14:textId="77777777" w:rsidR="00E10E74" w:rsidRPr="00E10E74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Rekomendujemy zmianę kolorystyki nawierzchni PU na kolory ceglasto-czerwony (RAL 3016) lub zielony (RAL 6011) czyli kolory typowe dla tego typu nawierzchni i najczęściej stosowane. Rekomendujemy zastosowanie jednego koloru na całej powierzchni boiska ewentualnie wyznaczenie strefy bezpieczeństwa w innym. Chodzi o zredukowanie do minimum starych łączeń technologicznych. Chodzi o to, że warstwę EPDM w różnych kolorach trzeba instalować osobno, co siłą rzeczy powoduje powstanie starych łączeń.</w:t>
      </w:r>
    </w:p>
    <w:p w14:paraId="60A94F4E" w14:textId="7C7C70C0" w:rsidR="00963968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 w:rsidRPr="00E10E74">
        <w:rPr>
          <w:rFonts w:ascii="Calibri" w:eastAsia="Calibri" w:hAnsi="Calibri" w:cs="Times New Roman"/>
          <w:lang w:val="pl-PL" w:eastAsia="en-US"/>
        </w:rPr>
        <w:t>Proszę o określenie kolorystyki dla nawierzchni PU.</w:t>
      </w:r>
      <w:r w:rsidR="00F35565">
        <w:rPr>
          <w:rFonts w:ascii="Calibri" w:eastAsia="Calibri" w:hAnsi="Calibri" w:cs="Times New Roman"/>
          <w:lang w:val="pl-PL" w:eastAsia="en-US"/>
        </w:rPr>
        <w:t>”</w:t>
      </w:r>
    </w:p>
    <w:p w14:paraId="5767B5C0" w14:textId="77777777" w:rsidR="00F35565" w:rsidRDefault="00F35565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</w:p>
    <w:p w14:paraId="655A1676" w14:textId="194F55F9" w:rsidR="00F35565" w:rsidRPr="00B24F44" w:rsidRDefault="00F35565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lang w:val="pl-PL" w:eastAsia="en-US"/>
        </w:rPr>
      </w:pPr>
      <w:r>
        <w:rPr>
          <w:rFonts w:ascii="Calibri" w:eastAsia="Calibri" w:hAnsi="Calibri" w:cs="Times New Roman"/>
          <w:lang w:val="pl-PL" w:eastAsia="en-US"/>
        </w:rPr>
        <w:t>Zamawiający udzielił następującej odpowiedzi:</w:t>
      </w:r>
    </w:p>
    <w:p w14:paraId="0B159C60" w14:textId="08D0CA00" w:rsidR="00B24F44" w:rsidRPr="00F35565" w:rsidRDefault="00B24F4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  <w:b/>
          <w:bCs/>
          <w:i/>
          <w:iCs/>
          <w:lang w:val="pl-PL" w:eastAsia="en-US"/>
        </w:rPr>
      </w:pPr>
      <w:r w:rsidRPr="00F35565">
        <w:rPr>
          <w:rFonts w:ascii="Calibri" w:eastAsia="Calibri" w:hAnsi="Calibri" w:cs="Times New Roman"/>
          <w:b/>
          <w:bCs/>
          <w:i/>
          <w:iCs/>
          <w:lang w:val="pl-PL" w:eastAsia="en-US"/>
        </w:rPr>
        <w:t>Odpowiedź 12:</w:t>
      </w:r>
    </w:p>
    <w:p w14:paraId="33EBF41F" w14:textId="6D4E7D2F" w:rsidR="00E10E74" w:rsidRPr="00F35565" w:rsidRDefault="00E10E74" w:rsidP="00B24F44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i/>
          <w:iCs/>
          <w:lang w:val="pl-PL" w:eastAsia="en-US"/>
        </w:rPr>
      </w:pPr>
      <w:r w:rsidRPr="00F35565">
        <w:rPr>
          <w:rFonts w:ascii="Calibri" w:eastAsia="Calibri" w:hAnsi="Calibri" w:cs="Calibri"/>
          <w:i/>
          <w:iCs/>
          <w:lang w:val="pl-PL" w:eastAsia="en-US"/>
        </w:rPr>
        <w:t xml:space="preserve">Zamawiający dopuszcza możliwość zmiany kolorystyki nawierzchni na etapie realizacji przed wbudowaniem materiałów po przedstawieniu próbek </w:t>
      </w:r>
      <w:r w:rsidR="00B24F44" w:rsidRPr="00F35565">
        <w:rPr>
          <w:rFonts w:ascii="Calibri" w:eastAsia="Calibri" w:hAnsi="Calibri" w:cs="Calibri"/>
          <w:i/>
          <w:iCs/>
          <w:lang w:val="pl-PL" w:eastAsia="en-US"/>
        </w:rPr>
        <w:t>p</w:t>
      </w:r>
      <w:r w:rsidRPr="00F35565">
        <w:rPr>
          <w:rFonts w:ascii="Calibri" w:eastAsia="Calibri" w:hAnsi="Calibri" w:cs="Calibri"/>
          <w:i/>
          <w:iCs/>
          <w:lang w:val="pl-PL" w:eastAsia="en-US"/>
        </w:rPr>
        <w:t>rzez wykonawcę i wyrażeniu zgody na proponowane zmiany przez inwestora i autora projektu. Na etapie składania ofert obowiązuje kolorystyka określona w projekcie.</w:t>
      </w:r>
    </w:p>
    <w:p w14:paraId="5EF1148E" w14:textId="77777777" w:rsidR="00B24F44" w:rsidRPr="00B24F44" w:rsidRDefault="00B24F44" w:rsidP="00963968">
      <w:pPr>
        <w:autoSpaceDE w:val="0"/>
        <w:autoSpaceDN w:val="0"/>
        <w:adjustRightInd w:val="0"/>
        <w:spacing w:line="240" w:lineRule="auto"/>
        <w:contextualSpacing/>
        <w:rPr>
          <w:rFonts w:ascii="Calibri" w:eastAsia="Calibri" w:hAnsi="Calibri" w:cs="Calibri"/>
          <w:lang w:val="pl-PL" w:eastAsia="en-US"/>
        </w:rPr>
      </w:pPr>
    </w:p>
    <w:p w14:paraId="60DDA57B" w14:textId="6B9925B8" w:rsidR="00F35565" w:rsidRPr="00F35565" w:rsidRDefault="00F35565" w:rsidP="00F35565">
      <w:pPr>
        <w:ind w:right="-20"/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lastRenderedPageBreak/>
        <w:t>Zwracamy uwagę, że odpowiedź Zamawiającego</w:t>
      </w:r>
      <w:r w:rsidRPr="00F35565">
        <w:rPr>
          <w:rFonts w:ascii="Calibri" w:eastAsia="Calibri" w:hAnsi="Calibri" w:cs="Calibri"/>
          <w:lang w:val="pl-PL" w:eastAsia="en-US"/>
        </w:rPr>
        <w:t xml:space="preserve"> nie odnosi się do poruszonych przez nas problemów (brak dostępności kolorów oraz brak odporności na promieniowanie UV). Wnosimy o merytoryczną odpowiedź Zamawiającego w tym zakresie.</w:t>
      </w:r>
    </w:p>
    <w:p w14:paraId="38EDABDB" w14:textId="3222401E" w:rsidR="00F9173D" w:rsidRPr="00B4481B" w:rsidRDefault="00F35565" w:rsidP="00F35565">
      <w:pPr>
        <w:ind w:right="-20"/>
        <w:jc w:val="both"/>
        <w:rPr>
          <w:rFonts w:ascii="Calibri" w:eastAsia="Calibri" w:hAnsi="Calibri" w:cs="Calibri"/>
          <w:lang w:val="pl-PL" w:eastAsia="en-US"/>
        </w:rPr>
      </w:pPr>
      <w:r w:rsidRPr="00F35565">
        <w:rPr>
          <w:rFonts w:ascii="Calibri" w:eastAsia="Calibri" w:hAnsi="Calibri" w:cs="Calibri"/>
          <w:lang w:val="pl-PL" w:eastAsia="en-US"/>
        </w:rPr>
        <w:t>Ponadto zwracamy uwagę, że kolor nawierzchni jest elementem cenotwórczym, dlatego ustalenie go na tym etapie jest istotne.</w:t>
      </w:r>
    </w:p>
    <w:p w14:paraId="526A77F2" w14:textId="77777777" w:rsidR="00F35565" w:rsidRDefault="00F35565" w:rsidP="00F35565">
      <w:pPr>
        <w:ind w:right="-20"/>
        <w:jc w:val="both"/>
        <w:rPr>
          <w:rFonts w:ascii="Calibri" w:eastAsia="Times New Roman" w:hAnsi="Calibri" w:cs="Calibri"/>
        </w:rPr>
      </w:pPr>
    </w:p>
    <w:p w14:paraId="6159B7E9" w14:textId="1F083EDD" w:rsidR="00F35565" w:rsidRPr="00F35565" w:rsidRDefault="00F35565" w:rsidP="00F35565">
      <w:pPr>
        <w:ind w:right="-20"/>
        <w:jc w:val="both"/>
        <w:rPr>
          <w:rFonts w:ascii="Calibri" w:eastAsia="Times New Roman" w:hAnsi="Calibri" w:cs="Calibri"/>
          <w:b/>
          <w:bCs/>
        </w:rPr>
      </w:pPr>
      <w:r w:rsidRPr="00F35565">
        <w:rPr>
          <w:rFonts w:ascii="Calibri" w:eastAsia="Times New Roman" w:hAnsi="Calibri" w:cs="Calibri"/>
          <w:b/>
          <w:bCs/>
        </w:rPr>
        <w:t>Odpowiedź zamawiającego:</w:t>
      </w:r>
    </w:p>
    <w:p w14:paraId="34060993" w14:textId="77777777" w:rsidR="00F35565" w:rsidRPr="00F35565" w:rsidRDefault="00F35565" w:rsidP="00F35565">
      <w:pPr>
        <w:ind w:right="-20"/>
        <w:jc w:val="both"/>
        <w:rPr>
          <w:rFonts w:ascii="Calibri" w:eastAsia="Times New Roman" w:hAnsi="Calibri" w:cs="Calibri"/>
          <w:lang w:val="pl-PL"/>
        </w:rPr>
      </w:pPr>
      <w:r w:rsidRPr="00F35565">
        <w:rPr>
          <w:rFonts w:ascii="Calibri" w:eastAsia="Times New Roman" w:hAnsi="Calibri" w:cs="Calibri"/>
          <w:lang w:val="pl-PL"/>
        </w:rPr>
        <w:t>Zmawiający dopuszcza następujące zmiany w kolorystyce i schemacie wyróżniania pól boiska:</w:t>
      </w:r>
    </w:p>
    <w:p w14:paraId="48A2A15A" w14:textId="151E3B91" w:rsidR="00FC6570" w:rsidRDefault="00F35565" w:rsidP="00F35565">
      <w:pPr>
        <w:pStyle w:val="Akapitzlist"/>
        <w:numPr>
          <w:ilvl w:val="0"/>
          <w:numId w:val="19"/>
        </w:numPr>
        <w:ind w:left="284" w:right="-20" w:hanging="284"/>
        <w:jc w:val="both"/>
        <w:rPr>
          <w:rFonts w:ascii="Calibri" w:eastAsia="Times New Roman" w:hAnsi="Calibri" w:cs="Calibri"/>
          <w:lang w:val="pl-PL"/>
        </w:rPr>
      </w:pPr>
      <w:r w:rsidRPr="00FC6570">
        <w:rPr>
          <w:rFonts w:ascii="Calibri" w:eastAsia="Times New Roman" w:hAnsi="Calibri" w:cs="Calibri"/>
          <w:lang w:val="pl-PL"/>
        </w:rPr>
        <w:t>wykonanie strefy bezpieczeństwa boiska, pól koła 6,0</w:t>
      </w:r>
      <w:r w:rsidR="00FC6570">
        <w:rPr>
          <w:rFonts w:ascii="Calibri" w:eastAsia="Times New Roman" w:hAnsi="Calibri" w:cs="Calibri"/>
          <w:lang w:val="pl-PL"/>
        </w:rPr>
        <w:t xml:space="preserve"> </w:t>
      </w:r>
      <w:r w:rsidRPr="00FC6570">
        <w:rPr>
          <w:rFonts w:ascii="Calibri" w:eastAsia="Times New Roman" w:hAnsi="Calibri" w:cs="Calibri"/>
          <w:lang w:val="pl-PL"/>
        </w:rPr>
        <w:t>m do piłki ręcznej oraz pól 3 sekund do koszykówki (bez łuków za linią rzutów osobistych) – kolor zielony jak w projekcie</w:t>
      </w:r>
      <w:r w:rsidR="00FC6570">
        <w:rPr>
          <w:rFonts w:ascii="Calibri" w:eastAsia="Times New Roman" w:hAnsi="Calibri" w:cs="Calibri"/>
          <w:lang w:val="pl-PL"/>
        </w:rPr>
        <w:t>,</w:t>
      </w:r>
      <w:r w:rsidRPr="00FC6570">
        <w:rPr>
          <w:rFonts w:ascii="Calibri" w:eastAsia="Times New Roman" w:hAnsi="Calibri" w:cs="Calibri"/>
          <w:lang w:val="pl-PL"/>
        </w:rPr>
        <w:t xml:space="preserve"> tj. 6010 ewentualnie </w:t>
      </w:r>
      <w:r w:rsidR="00FC6570">
        <w:rPr>
          <w:rFonts w:ascii="Calibri" w:eastAsia="Times New Roman" w:hAnsi="Calibri" w:cs="Calibri"/>
          <w:lang w:val="pl-PL"/>
        </w:rPr>
        <w:t xml:space="preserve">kolor </w:t>
      </w:r>
      <w:r w:rsidRPr="00FC6570">
        <w:rPr>
          <w:rFonts w:ascii="Calibri" w:eastAsia="Times New Roman" w:hAnsi="Calibri" w:cs="Calibri"/>
          <w:lang w:val="pl-PL"/>
        </w:rPr>
        <w:t>6001 lub 6017</w:t>
      </w:r>
      <w:r w:rsidR="00FC6570">
        <w:rPr>
          <w:rFonts w:ascii="Calibri" w:eastAsia="Times New Roman" w:hAnsi="Calibri" w:cs="Calibri"/>
          <w:lang w:val="pl-PL"/>
        </w:rPr>
        <w:t>;</w:t>
      </w:r>
    </w:p>
    <w:p w14:paraId="2833AE14" w14:textId="0119917A" w:rsidR="00F35565" w:rsidRPr="00FC6570" w:rsidRDefault="00F35565" w:rsidP="00F35565">
      <w:pPr>
        <w:pStyle w:val="Akapitzlist"/>
        <w:numPr>
          <w:ilvl w:val="0"/>
          <w:numId w:val="19"/>
        </w:numPr>
        <w:ind w:left="284" w:right="-20" w:hanging="284"/>
        <w:jc w:val="both"/>
        <w:rPr>
          <w:rFonts w:ascii="Calibri" w:eastAsia="Times New Roman" w:hAnsi="Calibri" w:cs="Calibri"/>
          <w:lang w:val="pl-PL"/>
        </w:rPr>
      </w:pPr>
      <w:r w:rsidRPr="00FC6570">
        <w:rPr>
          <w:rFonts w:ascii="Calibri" w:eastAsia="Times New Roman" w:hAnsi="Calibri" w:cs="Calibri"/>
          <w:lang w:val="pl-PL"/>
        </w:rPr>
        <w:t>wykonanie pozostałego obszaru boiska w jednym kolorze (bez wyróżniania kortu tenisowego innym odcieniem, pod warunkiem zastosowania kontrastującej kolorystyki linii dla kortu tenisowego) – odcienie pomarańczowego - kolory z projektu</w:t>
      </w:r>
      <w:r w:rsidR="00FC6570">
        <w:rPr>
          <w:rFonts w:ascii="Calibri" w:eastAsia="Times New Roman" w:hAnsi="Calibri" w:cs="Calibri"/>
          <w:lang w:val="pl-PL"/>
        </w:rPr>
        <w:t>,</w:t>
      </w:r>
      <w:r w:rsidRPr="00FC6570">
        <w:rPr>
          <w:rFonts w:ascii="Calibri" w:eastAsia="Times New Roman" w:hAnsi="Calibri" w:cs="Calibri"/>
          <w:lang w:val="pl-PL"/>
        </w:rPr>
        <w:t xml:space="preserve"> tj. 2000 lub 2010 ewentualnie kolor 2001 lub 2004</w:t>
      </w:r>
      <w:r w:rsidR="00FC6570">
        <w:rPr>
          <w:rFonts w:ascii="Calibri" w:eastAsia="Times New Roman" w:hAnsi="Calibri" w:cs="Calibri"/>
          <w:lang w:val="pl-PL"/>
        </w:rPr>
        <w:t>.</w:t>
      </w:r>
      <w:r w:rsidRPr="00FC6570">
        <w:rPr>
          <w:rFonts w:ascii="Calibri" w:eastAsia="Times New Roman" w:hAnsi="Calibri" w:cs="Calibri"/>
          <w:lang w:val="pl-PL"/>
        </w:rPr>
        <w:t xml:space="preserve"> </w:t>
      </w:r>
    </w:p>
    <w:p w14:paraId="61A9F0D5" w14:textId="77777777" w:rsidR="00F35565" w:rsidRPr="00F35565" w:rsidRDefault="00F35565" w:rsidP="00F35565">
      <w:pPr>
        <w:ind w:right="-20"/>
        <w:jc w:val="both"/>
        <w:rPr>
          <w:rFonts w:ascii="Calibri" w:eastAsia="Times New Roman" w:hAnsi="Calibri" w:cs="Calibri"/>
          <w:lang w:val="pl-PL"/>
        </w:rPr>
      </w:pPr>
    </w:p>
    <w:p w14:paraId="4F8904BA" w14:textId="2527F086" w:rsidR="00F35565" w:rsidRPr="00F35565" w:rsidRDefault="00F35565" w:rsidP="00F35565">
      <w:pPr>
        <w:ind w:right="-20"/>
        <w:jc w:val="both"/>
        <w:rPr>
          <w:rFonts w:ascii="Calibri" w:eastAsia="Times New Roman" w:hAnsi="Calibri" w:cs="Calibri"/>
          <w:lang w:val="pl-PL"/>
        </w:rPr>
      </w:pPr>
      <w:r w:rsidRPr="00F35565">
        <w:rPr>
          <w:rFonts w:ascii="Calibri" w:eastAsia="Times New Roman" w:hAnsi="Calibri" w:cs="Calibri"/>
          <w:lang w:val="pl-PL"/>
        </w:rPr>
        <w:t>Zamawiający nie jest w stanie rozstrzygnąć o sugerowanym przez pytającego braku dostępności poszczególnych kolorów nawierzchni poliuretanowych, dlatego na etapie składania ofert obowiązuje kolorystyka określona wyżej. Zastosowane materiały muszą natomiast spełniać warunki dopuszczenia do stosowania w budownictwie</w:t>
      </w:r>
      <w:r w:rsidR="00D35F11">
        <w:rPr>
          <w:rFonts w:ascii="Calibri" w:eastAsia="Times New Roman" w:hAnsi="Calibri" w:cs="Calibri"/>
          <w:lang w:val="pl-PL"/>
        </w:rPr>
        <w:t>,</w:t>
      </w:r>
      <w:r w:rsidRPr="00F35565">
        <w:rPr>
          <w:rFonts w:ascii="Calibri" w:eastAsia="Times New Roman" w:hAnsi="Calibri" w:cs="Calibri"/>
          <w:lang w:val="pl-PL"/>
        </w:rPr>
        <w:t xml:space="preserve"> w tym posiadać wymaganą odporność na promieniowanie UV. </w:t>
      </w:r>
    </w:p>
    <w:p w14:paraId="56873C3E" w14:textId="08430C77" w:rsidR="00F35565" w:rsidRPr="00F35565" w:rsidRDefault="00F35565" w:rsidP="00F35565">
      <w:pPr>
        <w:ind w:right="-20"/>
        <w:jc w:val="both"/>
        <w:rPr>
          <w:rFonts w:ascii="Calibri" w:eastAsia="Times New Roman" w:hAnsi="Calibri" w:cs="Calibri"/>
          <w:lang w:val="pl-PL"/>
        </w:rPr>
      </w:pPr>
      <w:r w:rsidRPr="00F35565">
        <w:rPr>
          <w:rFonts w:ascii="Calibri" w:eastAsia="Times New Roman" w:hAnsi="Calibri" w:cs="Calibri"/>
          <w:lang w:val="pl-PL"/>
        </w:rPr>
        <w:t>Na etapie realizacji inwestycji na uzasadniony wniosek wykonawcy i po przedstawieniu przez niego próbek materiałów oraz wyrażeniu zgody na proponowane zmiany przez inwestora i autora projektu, może nastąpić zmiana kolorystyki (bez zmiany schematu wyróżniania pól boiska).</w:t>
      </w:r>
    </w:p>
    <w:p w14:paraId="481D1E35" w14:textId="77777777" w:rsidR="00F35565" w:rsidRDefault="00F35565" w:rsidP="00F35565">
      <w:pPr>
        <w:ind w:right="-20"/>
        <w:jc w:val="both"/>
        <w:rPr>
          <w:rFonts w:ascii="Calibri" w:eastAsia="Times New Roman" w:hAnsi="Calibri" w:cs="Calibri"/>
        </w:rPr>
      </w:pPr>
    </w:p>
    <w:p w14:paraId="0A383B12" w14:textId="77777777" w:rsidR="00F35565" w:rsidRDefault="00F35565" w:rsidP="00F35565">
      <w:pPr>
        <w:ind w:right="-20"/>
        <w:jc w:val="both"/>
        <w:rPr>
          <w:rFonts w:ascii="Calibri" w:eastAsia="Times New Roman" w:hAnsi="Calibri" w:cs="Calibri"/>
        </w:rPr>
      </w:pPr>
    </w:p>
    <w:p w14:paraId="46ABE4BF" w14:textId="2A3EE6C6" w:rsidR="00A350C6" w:rsidRDefault="003305A3" w:rsidP="00F35565">
      <w:pPr>
        <w:ind w:right="-20"/>
        <w:jc w:val="both"/>
        <w:rPr>
          <w:rFonts w:ascii="Calibri" w:eastAsia="Times New Roman" w:hAnsi="Calibri" w:cs="Calibri"/>
        </w:rPr>
      </w:pPr>
      <w:r w:rsidRPr="00B4481B">
        <w:rPr>
          <w:rFonts w:ascii="Calibri" w:eastAsia="Times New Roman" w:hAnsi="Calibri" w:cs="Calibri"/>
        </w:rPr>
        <w:t>Powyższa treść staje się integralną częścią specyfikacji i zostaje zamieszczona na stronie internetowej prowadzonego postępowania.</w:t>
      </w:r>
    </w:p>
    <w:p w14:paraId="7C83E479" w14:textId="77777777" w:rsidR="00B4481B" w:rsidRPr="00B4481B" w:rsidRDefault="00B4481B" w:rsidP="00F62775">
      <w:pPr>
        <w:ind w:right="-20"/>
        <w:jc w:val="both"/>
        <w:rPr>
          <w:rFonts w:ascii="Calibri" w:eastAsia="Times New Roman" w:hAnsi="Calibri" w:cs="Calibri"/>
        </w:rPr>
      </w:pPr>
    </w:p>
    <w:p w14:paraId="33ABC78A" w14:textId="77777777" w:rsidR="003305A3" w:rsidRPr="00B4481B" w:rsidRDefault="003305A3" w:rsidP="00F62775">
      <w:pPr>
        <w:ind w:right="-20"/>
        <w:jc w:val="both"/>
        <w:rPr>
          <w:rFonts w:ascii="Calibri" w:eastAsia="Calibri" w:hAnsi="Calibri" w:cs="Calibri"/>
          <w:lang w:val="pl-PL" w:eastAsia="en-US"/>
        </w:rPr>
      </w:pPr>
    </w:p>
    <w:p w14:paraId="35647FCB" w14:textId="60047B57" w:rsidR="00A074A6" w:rsidRPr="00A074A6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 xml:space="preserve"> 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837ED1D" w14:textId="77777777" w:rsidR="008F1BA0" w:rsidRDefault="00A074A6" w:rsidP="00A350C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Tadeusz Sobol</w:t>
      </w:r>
    </w:p>
    <w:sectPr w:rsidR="008F1BA0" w:rsidSect="008F1BA0">
      <w:headerReference w:type="default" r:id="rId8"/>
      <w:footerReference w:type="default" r:id="rId9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E8A0" w14:textId="77777777" w:rsidR="009F297E" w:rsidRDefault="009F297E">
      <w:pPr>
        <w:spacing w:line="240" w:lineRule="auto"/>
      </w:pPr>
      <w:r>
        <w:separator/>
      </w:r>
    </w:p>
  </w:endnote>
  <w:endnote w:type="continuationSeparator" w:id="0">
    <w:p w14:paraId="4330651F" w14:textId="77777777" w:rsidR="009F297E" w:rsidRDefault="009F2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11A4" w14:textId="77777777" w:rsidR="009F297E" w:rsidRDefault="009F297E">
      <w:pPr>
        <w:spacing w:line="240" w:lineRule="auto"/>
      </w:pPr>
      <w:r>
        <w:separator/>
      </w:r>
    </w:p>
  </w:footnote>
  <w:footnote w:type="continuationSeparator" w:id="0">
    <w:p w14:paraId="6E05367C" w14:textId="77777777" w:rsidR="009F297E" w:rsidRDefault="009F29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50C448E4" w:rsidR="00654B8B" w:rsidRDefault="00000000">
    <w:sdt>
      <w:sdtPr>
        <w:id w:val="62458341"/>
        <w:docPartObj>
          <w:docPartGallery w:val="Page Numbers (Margins)"/>
          <w:docPartUnique/>
        </w:docPartObj>
      </w:sdtPr>
      <w:sdtContent>
        <w:r w:rsidR="00970FC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0804345" wp14:editId="5769661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2202180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A1A2F5" w14:textId="77777777" w:rsidR="00970FCB" w:rsidRDefault="00970FC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pl-PL"/>
                                </w:rP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pl-P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804345" id="Prostokąt 2" o:spid="_x0000_s1026" style="position:absolute;margin-left:13.3pt;margin-top:0;width:64.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03A1A2F5" w14:textId="77777777" w:rsidR="00970FCB" w:rsidRDefault="00970FC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pl-PL"/>
                          </w:rP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pl-P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C0799"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1954F9F"/>
    <w:multiLevelType w:val="hybridMultilevel"/>
    <w:tmpl w:val="2F5C2ED4"/>
    <w:lvl w:ilvl="0" w:tplc="13F6041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FD2872B8">
      <w:start w:val="1"/>
      <w:numFmt w:val="lowerLetter"/>
      <w:lvlText w:val="%2)"/>
      <w:lvlJc w:val="left"/>
      <w:pPr>
        <w:tabs>
          <w:tab w:val="num" w:pos="1473"/>
        </w:tabs>
        <w:ind w:left="1473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D0B79"/>
    <w:multiLevelType w:val="hybridMultilevel"/>
    <w:tmpl w:val="B4A21D08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5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D5957"/>
    <w:multiLevelType w:val="hybridMultilevel"/>
    <w:tmpl w:val="2B38513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26169"/>
    <w:multiLevelType w:val="hybridMultilevel"/>
    <w:tmpl w:val="ADC8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11"/>
  </w:num>
  <w:num w:numId="2" w16cid:durableId="762797751">
    <w:abstractNumId w:val="15"/>
  </w:num>
  <w:num w:numId="3" w16cid:durableId="746421982">
    <w:abstractNumId w:val="8"/>
  </w:num>
  <w:num w:numId="4" w16cid:durableId="767694574">
    <w:abstractNumId w:val="12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8"/>
  </w:num>
  <w:num w:numId="8" w16cid:durableId="1915701601">
    <w:abstractNumId w:val="14"/>
  </w:num>
  <w:num w:numId="9" w16cid:durableId="1350179867">
    <w:abstractNumId w:val="5"/>
  </w:num>
  <w:num w:numId="10" w16cid:durableId="1773089889">
    <w:abstractNumId w:val="13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908103898">
    <w:abstractNumId w:val="9"/>
  </w:num>
  <w:num w:numId="16" w16cid:durableId="314720118">
    <w:abstractNumId w:val="7"/>
  </w:num>
  <w:num w:numId="17" w16cid:durableId="736710983">
    <w:abstractNumId w:val="10"/>
  </w:num>
  <w:num w:numId="18" w16cid:durableId="1817911829">
    <w:abstractNumId w:val="17"/>
  </w:num>
  <w:num w:numId="19" w16cid:durableId="12145380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0927E1"/>
    <w:rsid w:val="001016F3"/>
    <w:rsid w:val="00104129"/>
    <w:rsid w:val="0013494F"/>
    <w:rsid w:val="001534F8"/>
    <w:rsid w:val="0017494A"/>
    <w:rsid w:val="001862D7"/>
    <w:rsid w:val="001B729F"/>
    <w:rsid w:val="00210227"/>
    <w:rsid w:val="0022645E"/>
    <w:rsid w:val="0028422C"/>
    <w:rsid w:val="00292CE5"/>
    <w:rsid w:val="002B263F"/>
    <w:rsid w:val="003133CA"/>
    <w:rsid w:val="00321CE1"/>
    <w:rsid w:val="003305A3"/>
    <w:rsid w:val="003A2CB5"/>
    <w:rsid w:val="003A6F82"/>
    <w:rsid w:val="003B374E"/>
    <w:rsid w:val="003B5594"/>
    <w:rsid w:val="00426560"/>
    <w:rsid w:val="0046506F"/>
    <w:rsid w:val="00472BAD"/>
    <w:rsid w:val="004C5457"/>
    <w:rsid w:val="004C5CB7"/>
    <w:rsid w:val="004F0EDD"/>
    <w:rsid w:val="0050364A"/>
    <w:rsid w:val="00516D7A"/>
    <w:rsid w:val="005553CF"/>
    <w:rsid w:val="00575151"/>
    <w:rsid w:val="006052A6"/>
    <w:rsid w:val="00607171"/>
    <w:rsid w:val="00622142"/>
    <w:rsid w:val="00654B8B"/>
    <w:rsid w:val="00685B67"/>
    <w:rsid w:val="006C5172"/>
    <w:rsid w:val="0081556B"/>
    <w:rsid w:val="0082401F"/>
    <w:rsid w:val="00874884"/>
    <w:rsid w:val="008B1566"/>
    <w:rsid w:val="008C234E"/>
    <w:rsid w:val="008F1BA0"/>
    <w:rsid w:val="00960DE2"/>
    <w:rsid w:val="00963968"/>
    <w:rsid w:val="00970FCB"/>
    <w:rsid w:val="00976D57"/>
    <w:rsid w:val="009B660C"/>
    <w:rsid w:val="009F297E"/>
    <w:rsid w:val="00A074A6"/>
    <w:rsid w:val="00A350C6"/>
    <w:rsid w:val="00AA29DA"/>
    <w:rsid w:val="00AD2401"/>
    <w:rsid w:val="00AE3314"/>
    <w:rsid w:val="00B03973"/>
    <w:rsid w:val="00B05C80"/>
    <w:rsid w:val="00B11168"/>
    <w:rsid w:val="00B24F44"/>
    <w:rsid w:val="00B4481B"/>
    <w:rsid w:val="00B60374"/>
    <w:rsid w:val="00BB5F26"/>
    <w:rsid w:val="00C01498"/>
    <w:rsid w:val="00C2460E"/>
    <w:rsid w:val="00C4356F"/>
    <w:rsid w:val="00C46E67"/>
    <w:rsid w:val="00C56E67"/>
    <w:rsid w:val="00D04312"/>
    <w:rsid w:val="00D24C38"/>
    <w:rsid w:val="00D35F11"/>
    <w:rsid w:val="00D82273"/>
    <w:rsid w:val="00DD4784"/>
    <w:rsid w:val="00DE6E12"/>
    <w:rsid w:val="00DF69F9"/>
    <w:rsid w:val="00E10E74"/>
    <w:rsid w:val="00E34BD1"/>
    <w:rsid w:val="00E71EC0"/>
    <w:rsid w:val="00E74D46"/>
    <w:rsid w:val="00EC0799"/>
    <w:rsid w:val="00EC6058"/>
    <w:rsid w:val="00EC68B2"/>
    <w:rsid w:val="00EE594C"/>
    <w:rsid w:val="00EF2EF7"/>
    <w:rsid w:val="00F35565"/>
    <w:rsid w:val="00F62775"/>
    <w:rsid w:val="00F9173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7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49</cp:revision>
  <dcterms:created xsi:type="dcterms:W3CDTF">2022-07-06T12:47:00Z</dcterms:created>
  <dcterms:modified xsi:type="dcterms:W3CDTF">2023-04-18T10:34:00Z</dcterms:modified>
</cp:coreProperties>
</file>