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C4068D" w:rsidRPr="00942C2D">
        <w:rPr>
          <w:rFonts w:ascii="Garamond" w:eastAsia="Times New Roman" w:hAnsi="Garamond" w:cs="Times New Roman"/>
          <w:lang w:eastAsia="pl-PL"/>
        </w:rPr>
        <w:t>0</w:t>
      </w:r>
      <w:r w:rsidR="00D76F99">
        <w:rPr>
          <w:rFonts w:ascii="Garamond" w:eastAsia="Times New Roman" w:hAnsi="Garamond" w:cs="Times New Roman"/>
          <w:lang w:eastAsia="pl-PL"/>
        </w:rPr>
        <w:t>8</w:t>
      </w:r>
      <w:r w:rsidR="00C4068D" w:rsidRPr="00942C2D">
        <w:rPr>
          <w:rFonts w:ascii="Garamond" w:eastAsia="Times New Roman" w:hAnsi="Garamond" w:cs="Times New Roman"/>
          <w:lang w:eastAsia="pl-PL"/>
        </w:rPr>
        <w:t>.</w:t>
      </w:r>
      <w:r w:rsidR="00847B5E" w:rsidRPr="00942C2D">
        <w:rPr>
          <w:rFonts w:ascii="Garamond" w:eastAsia="Times New Roman" w:hAnsi="Garamond" w:cs="Times New Roman"/>
          <w:lang w:eastAsia="pl-PL"/>
        </w:rPr>
        <w:t>0</w:t>
      </w:r>
      <w:r w:rsidR="00D76F99">
        <w:rPr>
          <w:rFonts w:ascii="Garamond" w:eastAsia="Times New Roman" w:hAnsi="Garamond" w:cs="Times New Roman"/>
          <w:lang w:eastAsia="pl-PL"/>
        </w:rPr>
        <w:t>4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056A8A">
        <w:rPr>
          <w:rFonts w:ascii="Garamond" w:eastAsia="Times New Roman" w:hAnsi="Garamond" w:cs="Times New Roman"/>
          <w:lang w:eastAsia="pl-PL"/>
        </w:rPr>
        <w:t>35</w:t>
      </w:r>
      <w:r w:rsidR="006E59CC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942C2D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3536B2" w:rsidRPr="00942C2D">
        <w:rPr>
          <w:rFonts w:ascii="Garamond" w:eastAsia="Times New Roman" w:hAnsi="Garamond" w:cs="Times New Roman"/>
          <w:bCs/>
          <w:iCs/>
          <w:lang w:eastAsia="pl-PL"/>
        </w:rPr>
        <w:t xml:space="preserve">dostawę </w:t>
      </w:r>
      <w:r w:rsidR="00056A8A" w:rsidRPr="00056A8A">
        <w:rPr>
          <w:rFonts w:ascii="Garamond" w:eastAsia="Times New Roman" w:hAnsi="Garamond" w:cs="Times New Roman"/>
          <w:bCs/>
          <w:iCs/>
          <w:lang w:eastAsia="pl-PL"/>
        </w:rPr>
        <w:t>materiałów do dializ dla Szpitala Uniwersyteckiego w Krakowie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Pr="00942C2D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056A8A" w:rsidRPr="00056A8A" w:rsidRDefault="00056A8A" w:rsidP="00056A8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:rsidR="009D69BB" w:rsidRPr="00942C2D" w:rsidRDefault="009D69BB" w:rsidP="006B644B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p w:rsidR="002E1600" w:rsidRPr="00942C2D" w:rsidRDefault="002E1600" w:rsidP="009219C1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E1600" w:rsidRPr="00942C2D" w:rsidRDefault="002E1600" w:rsidP="009219C1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E03A86" w:rsidRPr="00942C2D">
        <w:rPr>
          <w:rFonts w:ascii="Garamond" w:eastAsia="Times New Roman" w:hAnsi="Garamond" w:cs="Times New Roman"/>
          <w:b/>
          <w:bCs/>
          <w:lang w:eastAsia="pl-PL"/>
        </w:rPr>
        <w:t>1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Dotyczy Formularza Ofert</w:t>
      </w:r>
      <w:r>
        <w:rPr>
          <w:rFonts w:ascii="Garamond" w:eastAsia="Times New Roman" w:hAnsi="Garamond" w:cs="Times New Roman"/>
          <w:lang w:eastAsia="pl-PL"/>
        </w:rPr>
        <w:t>owego część  nr 2 pozycji nr 1: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 xml:space="preserve">W związku z brakiem dostępności w pełni silikonowych cewników dializacyjnych o średnicy 11,5 Fr i 13,5Fr oraz długościach 30 cm i 35 cm prosimy Zamawiającego o zgodę na zaoferowanie cewników w pozostałych wymaganych rozmiarach bez wyżej wymienionych. </w:t>
      </w:r>
    </w:p>
    <w:p w:rsidR="009219C1" w:rsidRPr="00942C2D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Pozostałe parametry zgodnie ze specyfikacją.</w:t>
      </w:r>
    </w:p>
    <w:p w:rsidR="004717F1" w:rsidRPr="00942C2D" w:rsidRDefault="004717F1" w:rsidP="004717F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  <w:r w:rsidR="00895013" w:rsidRPr="00942C2D">
        <w:rPr>
          <w:rFonts w:ascii="Garamond" w:eastAsia="Times New Roman" w:hAnsi="Garamond" w:cs="Times New Roman"/>
          <w:lang w:eastAsia="pl-PL"/>
        </w:rPr>
        <w:t>Zamawiający</w:t>
      </w:r>
      <w:r w:rsidR="00056A8A">
        <w:rPr>
          <w:rFonts w:ascii="Garamond" w:eastAsia="Times New Roman" w:hAnsi="Garamond" w:cs="Times New Roman"/>
          <w:lang w:eastAsia="pl-PL"/>
        </w:rPr>
        <w:t xml:space="preserve"> </w:t>
      </w:r>
      <w:r w:rsidR="005A5647">
        <w:rPr>
          <w:rFonts w:ascii="Garamond" w:eastAsia="Times New Roman" w:hAnsi="Garamond" w:cs="Times New Roman"/>
          <w:lang w:eastAsia="pl-PL"/>
        </w:rPr>
        <w:t>wymaga zgodnie z zapisami SWZ</w:t>
      </w:r>
      <w:r w:rsidR="00895013" w:rsidRPr="00942C2D">
        <w:rPr>
          <w:rFonts w:ascii="Garamond" w:eastAsia="Times New Roman" w:hAnsi="Garamond" w:cs="Times New Roman"/>
          <w:lang w:eastAsia="pl-PL"/>
        </w:rPr>
        <w:t>.</w:t>
      </w:r>
    </w:p>
    <w:p w:rsidR="00375D3E" w:rsidRPr="00942C2D" w:rsidRDefault="00375D3E" w:rsidP="00375D3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E1600" w:rsidRPr="00942C2D" w:rsidRDefault="002E1600" w:rsidP="00375D3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E03A86" w:rsidRPr="00942C2D">
        <w:rPr>
          <w:rFonts w:ascii="Garamond" w:eastAsia="Times New Roman" w:hAnsi="Garamond" w:cs="Times New Roman"/>
          <w:b/>
          <w:bCs/>
          <w:lang w:eastAsia="pl-PL"/>
        </w:rPr>
        <w:t>2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 xml:space="preserve">Czy Zamawiający w pozycji 1 część 1 dopuści do postępowania cewnik </w:t>
      </w:r>
      <w:proofErr w:type="spellStart"/>
      <w:r w:rsidRPr="00056A8A">
        <w:rPr>
          <w:rFonts w:ascii="Garamond" w:eastAsia="Times New Roman" w:hAnsi="Garamond" w:cs="Times New Roman"/>
          <w:lang w:eastAsia="pl-PL"/>
        </w:rPr>
        <w:t>dwuświatłowy</w:t>
      </w:r>
      <w:proofErr w:type="spellEnd"/>
      <w:r w:rsidRPr="00056A8A">
        <w:rPr>
          <w:rFonts w:ascii="Garamond" w:eastAsia="Times New Roman" w:hAnsi="Garamond" w:cs="Times New Roman"/>
          <w:lang w:eastAsia="pl-PL"/>
        </w:rPr>
        <w:t xml:space="preserve"> wysokoprzepływowy (High </w:t>
      </w:r>
      <w:proofErr w:type="spellStart"/>
      <w:r w:rsidRPr="00056A8A">
        <w:rPr>
          <w:rFonts w:ascii="Garamond" w:eastAsia="Times New Roman" w:hAnsi="Garamond" w:cs="Times New Roman"/>
          <w:lang w:eastAsia="pl-PL"/>
        </w:rPr>
        <w:t>Flow</w:t>
      </w:r>
      <w:proofErr w:type="spellEnd"/>
      <w:r w:rsidRPr="00056A8A">
        <w:rPr>
          <w:rFonts w:ascii="Garamond" w:eastAsia="Times New Roman" w:hAnsi="Garamond" w:cs="Times New Roman"/>
          <w:lang w:eastAsia="pl-PL"/>
        </w:rPr>
        <w:t xml:space="preserve">) z termoplastycznego poliuretanu </w:t>
      </w:r>
      <w:proofErr w:type="spellStart"/>
      <w:r w:rsidRPr="00056A8A">
        <w:rPr>
          <w:rFonts w:ascii="Garamond" w:eastAsia="Times New Roman" w:hAnsi="Garamond" w:cs="Times New Roman"/>
          <w:lang w:eastAsia="pl-PL"/>
        </w:rPr>
        <w:t>Tecoflex</w:t>
      </w:r>
      <w:proofErr w:type="spellEnd"/>
      <w:r w:rsidRPr="00056A8A">
        <w:rPr>
          <w:rFonts w:ascii="Garamond" w:eastAsia="Times New Roman" w:hAnsi="Garamond" w:cs="Times New Roman"/>
          <w:lang w:eastAsia="pl-PL"/>
        </w:rPr>
        <w:t xml:space="preserve"> z ramionami prostymi lub zagiętymi o średnicy 11 Fr i </w:t>
      </w:r>
      <w:proofErr w:type="spellStart"/>
      <w:r w:rsidRPr="00056A8A">
        <w:rPr>
          <w:rFonts w:ascii="Garamond" w:eastAsia="Times New Roman" w:hAnsi="Garamond" w:cs="Times New Roman"/>
          <w:lang w:eastAsia="pl-PL"/>
        </w:rPr>
        <w:t>i</w:t>
      </w:r>
      <w:proofErr w:type="spellEnd"/>
      <w:r w:rsidRPr="00056A8A">
        <w:rPr>
          <w:rFonts w:ascii="Garamond" w:eastAsia="Times New Roman" w:hAnsi="Garamond" w:cs="Times New Roman"/>
          <w:lang w:eastAsia="pl-PL"/>
        </w:rPr>
        <w:t xml:space="preserve"> długościach: 15 cm, 17,5 cm, 20 cm, 25 cm</w:t>
      </w:r>
      <w:r>
        <w:rPr>
          <w:rFonts w:ascii="Garamond" w:eastAsia="Times New Roman" w:hAnsi="Garamond" w:cs="Times New Roman"/>
          <w:lang w:eastAsia="pl-PL"/>
        </w:rPr>
        <w:t xml:space="preserve"> do wyboru przez Zamawiającego?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Charakterystyka cewnika: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 xml:space="preserve">- termoplastyczny poliuretan </w:t>
      </w:r>
      <w:proofErr w:type="spellStart"/>
      <w:r w:rsidRPr="00056A8A">
        <w:rPr>
          <w:rFonts w:ascii="Garamond" w:eastAsia="Times New Roman" w:hAnsi="Garamond" w:cs="Times New Roman"/>
          <w:lang w:eastAsia="pl-PL"/>
        </w:rPr>
        <w:t>Tecoflex</w:t>
      </w:r>
      <w:proofErr w:type="spellEnd"/>
      <w:r w:rsidRPr="00056A8A">
        <w:rPr>
          <w:rFonts w:ascii="Garamond" w:eastAsia="Times New Roman" w:hAnsi="Garamond" w:cs="Times New Roman"/>
          <w:lang w:eastAsia="pl-PL"/>
        </w:rPr>
        <w:t xml:space="preserve"> 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 xml:space="preserve">- </w:t>
      </w:r>
      <w:proofErr w:type="spellStart"/>
      <w:r w:rsidRPr="00056A8A">
        <w:rPr>
          <w:rFonts w:ascii="Garamond" w:eastAsia="Times New Roman" w:hAnsi="Garamond" w:cs="Times New Roman"/>
          <w:lang w:eastAsia="pl-PL"/>
        </w:rPr>
        <w:t>radiocieniujący</w:t>
      </w:r>
      <w:proofErr w:type="spellEnd"/>
      <w:r w:rsidRPr="00056A8A">
        <w:rPr>
          <w:rFonts w:ascii="Garamond" w:eastAsia="Times New Roman" w:hAnsi="Garamond" w:cs="Times New Roman"/>
          <w:lang w:eastAsia="pl-PL"/>
        </w:rPr>
        <w:t xml:space="preserve"> </w:t>
      </w:r>
      <w:proofErr w:type="spellStart"/>
      <w:r w:rsidRPr="00056A8A">
        <w:rPr>
          <w:rFonts w:ascii="Garamond" w:eastAsia="Times New Roman" w:hAnsi="Garamond" w:cs="Times New Roman"/>
          <w:lang w:eastAsia="pl-PL"/>
        </w:rPr>
        <w:t>szaft</w:t>
      </w:r>
      <w:proofErr w:type="spellEnd"/>
      <w:r w:rsidRPr="00056A8A">
        <w:rPr>
          <w:rFonts w:ascii="Garamond" w:eastAsia="Times New Roman" w:hAnsi="Garamond" w:cs="Times New Roman"/>
          <w:lang w:eastAsia="pl-PL"/>
        </w:rPr>
        <w:t xml:space="preserve"> cewnika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 xml:space="preserve">- końcówka bez bocznych otworów zmniejszająca ryzyko powstawania zakrzepu 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- przednie otwory zmniejszające ryzyko powstawania zakrzepów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- obrotowy pierścień do szycia pozwalający uniknąć podrażnienia skóry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 xml:space="preserve">- zacisk bezpieczeństwa z zabezpieczeniami bocznymi chroniącymi rurkę końcówki przed wyślizgnięciem się 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- wskaźniki wypełnienia, rozmiar i długość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- kompatybilny z MRI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 xml:space="preserve">- odporna na odkształcenia prowadnica „J” z wysoką zawartością tytanu zapewniająca wyjątkowo wysoką elastyczność i odporność na odkształcenia , dodatkowy komfort zapewnia powłoka z PTFE, która gwarantuje gładką powierzchnię i najwyższy poślizg 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- igła wprowadzająca 18G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- rozszerzadło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 xml:space="preserve">- nasadki iniekcyjne </w:t>
      </w:r>
      <w:proofErr w:type="spellStart"/>
      <w:r w:rsidRPr="00056A8A">
        <w:rPr>
          <w:rFonts w:ascii="Garamond" w:eastAsia="Times New Roman" w:hAnsi="Garamond" w:cs="Times New Roman"/>
          <w:lang w:eastAsia="pl-PL"/>
        </w:rPr>
        <w:t>Luer</w:t>
      </w:r>
      <w:proofErr w:type="spellEnd"/>
      <w:r w:rsidRPr="00056A8A">
        <w:rPr>
          <w:rFonts w:ascii="Garamond" w:eastAsia="Times New Roman" w:hAnsi="Garamond" w:cs="Times New Roman"/>
          <w:lang w:eastAsia="pl-PL"/>
        </w:rPr>
        <w:t xml:space="preserve"> Lock</w:t>
      </w:r>
    </w:p>
    <w:p w:rsidR="00375D3E" w:rsidRPr="00942C2D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- wyprodukowany w Niemczech</w:t>
      </w:r>
      <w:r w:rsidR="00375D3E"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770B17" w:rsidRPr="00942C2D" w:rsidRDefault="00770B17" w:rsidP="00770B1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Zamawiający</w:t>
      </w:r>
      <w:r>
        <w:rPr>
          <w:rFonts w:ascii="Garamond" w:eastAsia="Times New Roman" w:hAnsi="Garamond" w:cs="Times New Roman"/>
          <w:lang w:eastAsia="pl-PL"/>
        </w:rPr>
        <w:t xml:space="preserve"> wymaga zgodnie z zapisami SWZ</w:t>
      </w:r>
      <w:r w:rsidRPr="00942C2D">
        <w:rPr>
          <w:rFonts w:ascii="Garamond" w:eastAsia="Times New Roman" w:hAnsi="Garamond" w:cs="Times New Roman"/>
          <w:lang w:eastAsia="pl-PL"/>
        </w:rPr>
        <w:t>.</w:t>
      </w:r>
    </w:p>
    <w:p w:rsidR="00375D3E" w:rsidRPr="00942C2D" w:rsidRDefault="00375D3E" w:rsidP="00375D3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75D3E" w:rsidRPr="00942C2D" w:rsidRDefault="002E1600" w:rsidP="002E1600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Pytanie</w:t>
      </w:r>
      <w:r w:rsidR="00E03A86" w:rsidRPr="00942C2D">
        <w:rPr>
          <w:rFonts w:ascii="Garamond" w:eastAsia="Times New Roman" w:hAnsi="Garamond" w:cs="Times New Roman"/>
          <w:b/>
          <w:bCs/>
          <w:lang w:eastAsia="pl-PL"/>
        </w:rPr>
        <w:t xml:space="preserve"> 3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Czy Zamawiający wyrazi zgodę na wydzielenie pozycji 1 z części 1 i stworzy osobny pakiet dla tych pozycji?</w:t>
      </w:r>
    </w:p>
    <w:p w:rsidR="00375D3E" w:rsidRPr="00942C2D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Szczegółowe informacje o produkcie w załączeniu</w:t>
      </w:r>
      <w:r w:rsidR="00375D3E"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4415EF" w:rsidRPr="00942C2D" w:rsidRDefault="00AF1F80" w:rsidP="004415E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lastRenderedPageBreak/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  <w:r w:rsidR="004415EF" w:rsidRPr="00942C2D">
        <w:rPr>
          <w:rFonts w:ascii="Garamond" w:eastAsia="Times New Roman" w:hAnsi="Garamond" w:cs="Times New Roman"/>
          <w:lang w:eastAsia="pl-PL"/>
        </w:rPr>
        <w:t xml:space="preserve">Zamawiający </w:t>
      </w:r>
      <w:r w:rsidR="00D76F99">
        <w:rPr>
          <w:rFonts w:ascii="Garamond" w:eastAsia="Times New Roman" w:hAnsi="Garamond" w:cs="Times New Roman"/>
          <w:lang w:eastAsia="pl-PL"/>
        </w:rPr>
        <w:t>nie wyraża zgody.</w:t>
      </w:r>
    </w:p>
    <w:p w:rsidR="00375D3E" w:rsidRPr="00CA2445" w:rsidRDefault="00CA2445" w:rsidP="00375D3E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CA2445">
        <w:rPr>
          <w:rFonts w:ascii="Garamond" w:eastAsia="Times New Roman" w:hAnsi="Garamond" w:cs="Times New Roman"/>
          <w:sz w:val="20"/>
          <w:szCs w:val="20"/>
          <w:lang w:eastAsia="pl-PL"/>
        </w:rPr>
        <w:t>* W załączeniu przedstawiam załącznik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1</w:t>
      </w:r>
      <w:r w:rsidRPr="00CA244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niniejszego</w:t>
      </w:r>
      <w:r w:rsidRPr="00CA244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pytania z ukrytymi danymi wskazującymi na źródło zapytania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.</w:t>
      </w:r>
    </w:p>
    <w:p w:rsidR="00CA2445" w:rsidRDefault="00CA2445" w:rsidP="00375D3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A2445" w:rsidRPr="00942C2D" w:rsidRDefault="00CA2445" w:rsidP="00375D3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E1600" w:rsidRPr="00942C2D" w:rsidRDefault="002E1600" w:rsidP="00375D3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E03A86" w:rsidRPr="00942C2D">
        <w:rPr>
          <w:rFonts w:ascii="Garamond" w:eastAsia="Times New Roman" w:hAnsi="Garamond" w:cs="Times New Roman"/>
          <w:b/>
          <w:bCs/>
          <w:lang w:eastAsia="pl-PL"/>
        </w:rPr>
        <w:t>4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 xml:space="preserve">Czy Zamawiający w pozycji 2 część 1 dopuści do postępowania cewnik </w:t>
      </w:r>
      <w:proofErr w:type="spellStart"/>
      <w:r w:rsidRPr="00056A8A">
        <w:rPr>
          <w:rFonts w:ascii="Garamond" w:eastAsia="Times New Roman" w:hAnsi="Garamond" w:cs="Times New Roman"/>
          <w:lang w:eastAsia="pl-PL"/>
        </w:rPr>
        <w:t>dwuświatłowy</w:t>
      </w:r>
      <w:proofErr w:type="spellEnd"/>
      <w:r w:rsidRPr="00056A8A">
        <w:rPr>
          <w:rFonts w:ascii="Garamond" w:eastAsia="Times New Roman" w:hAnsi="Garamond" w:cs="Times New Roman"/>
          <w:lang w:eastAsia="pl-PL"/>
        </w:rPr>
        <w:t xml:space="preserve"> długoterminowy poliuretanowy </w:t>
      </w:r>
      <w:proofErr w:type="spellStart"/>
      <w:r w:rsidRPr="00056A8A">
        <w:rPr>
          <w:rFonts w:ascii="Garamond" w:eastAsia="Times New Roman" w:hAnsi="Garamond" w:cs="Times New Roman"/>
          <w:lang w:eastAsia="pl-PL"/>
        </w:rPr>
        <w:t>Evolution</w:t>
      </w:r>
      <w:proofErr w:type="spellEnd"/>
      <w:r w:rsidRPr="00056A8A">
        <w:rPr>
          <w:rFonts w:ascii="Garamond" w:eastAsia="Times New Roman" w:hAnsi="Garamond" w:cs="Times New Roman"/>
          <w:lang w:eastAsia="pl-PL"/>
        </w:rPr>
        <w:t xml:space="preserve"> </w:t>
      </w:r>
      <w:proofErr w:type="spellStart"/>
      <w:r w:rsidRPr="00056A8A">
        <w:rPr>
          <w:rFonts w:ascii="Garamond" w:eastAsia="Times New Roman" w:hAnsi="Garamond" w:cs="Times New Roman"/>
          <w:lang w:eastAsia="pl-PL"/>
        </w:rPr>
        <w:t>Flow</w:t>
      </w:r>
      <w:proofErr w:type="spellEnd"/>
      <w:r w:rsidRPr="00056A8A">
        <w:rPr>
          <w:rFonts w:ascii="Garamond" w:eastAsia="Times New Roman" w:hAnsi="Garamond" w:cs="Times New Roman"/>
          <w:lang w:eastAsia="pl-PL"/>
        </w:rPr>
        <w:t xml:space="preserve"> do implantacji metodą wsteczną (</w:t>
      </w:r>
      <w:proofErr w:type="spellStart"/>
      <w:r w:rsidRPr="00056A8A">
        <w:rPr>
          <w:rFonts w:ascii="Garamond" w:eastAsia="Times New Roman" w:hAnsi="Garamond" w:cs="Times New Roman"/>
          <w:lang w:eastAsia="pl-PL"/>
        </w:rPr>
        <w:t>retrograde</w:t>
      </w:r>
      <w:proofErr w:type="spellEnd"/>
      <w:r w:rsidRPr="00056A8A">
        <w:rPr>
          <w:rFonts w:ascii="Garamond" w:eastAsia="Times New Roman" w:hAnsi="Garamond" w:cs="Times New Roman"/>
          <w:lang w:eastAsia="pl-PL"/>
        </w:rPr>
        <w:t>) z opatentowaną konstrukcją końcówki, która umożliwia proste i precyzyjne umiejscowienie końcówki w prawym przedsionku, o stopniu recyrkulacji poniżej 1%, średnica 15,5 FR i długości cewnika: 19/40 cm, 23/44 cm, 28/49 cm, 33/54 cm</w:t>
      </w:r>
      <w:r>
        <w:rPr>
          <w:rFonts w:ascii="Garamond" w:eastAsia="Times New Roman" w:hAnsi="Garamond" w:cs="Times New Roman"/>
          <w:lang w:eastAsia="pl-PL"/>
        </w:rPr>
        <w:t xml:space="preserve"> do wyboru przez Zamawiającego?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Charakterystyka zestawu: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 xml:space="preserve">- </w:t>
      </w:r>
      <w:proofErr w:type="spellStart"/>
      <w:r w:rsidRPr="00056A8A">
        <w:rPr>
          <w:rFonts w:ascii="Garamond" w:eastAsia="Times New Roman" w:hAnsi="Garamond" w:cs="Times New Roman"/>
          <w:lang w:eastAsia="pl-PL"/>
        </w:rPr>
        <w:t>radiocieniujący</w:t>
      </w:r>
      <w:proofErr w:type="spellEnd"/>
      <w:r w:rsidRPr="00056A8A">
        <w:rPr>
          <w:rFonts w:ascii="Garamond" w:eastAsia="Times New Roman" w:hAnsi="Garamond" w:cs="Times New Roman"/>
          <w:lang w:eastAsia="pl-PL"/>
        </w:rPr>
        <w:t xml:space="preserve"> cewnik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- zastosowana technika typu „</w:t>
      </w:r>
      <w:proofErr w:type="spellStart"/>
      <w:r w:rsidRPr="00056A8A">
        <w:rPr>
          <w:rFonts w:ascii="Garamond" w:eastAsia="Times New Roman" w:hAnsi="Garamond" w:cs="Times New Roman"/>
          <w:lang w:eastAsia="pl-PL"/>
        </w:rPr>
        <w:t>Over</w:t>
      </w:r>
      <w:proofErr w:type="spellEnd"/>
      <w:r w:rsidRPr="00056A8A">
        <w:rPr>
          <w:rFonts w:ascii="Garamond" w:eastAsia="Times New Roman" w:hAnsi="Garamond" w:cs="Times New Roman"/>
          <w:lang w:eastAsia="pl-PL"/>
        </w:rPr>
        <w:t xml:space="preserve"> The </w:t>
      </w:r>
      <w:proofErr w:type="spellStart"/>
      <w:r w:rsidRPr="00056A8A">
        <w:rPr>
          <w:rFonts w:ascii="Garamond" w:eastAsia="Times New Roman" w:hAnsi="Garamond" w:cs="Times New Roman"/>
          <w:lang w:eastAsia="pl-PL"/>
        </w:rPr>
        <w:t>Wire</w:t>
      </w:r>
      <w:proofErr w:type="spellEnd"/>
      <w:r w:rsidRPr="00056A8A">
        <w:rPr>
          <w:rFonts w:ascii="Garamond" w:eastAsia="Times New Roman" w:hAnsi="Garamond" w:cs="Times New Roman"/>
          <w:lang w:eastAsia="pl-PL"/>
        </w:rPr>
        <w:t xml:space="preserve">” - bez </w:t>
      </w:r>
      <w:proofErr w:type="spellStart"/>
      <w:r w:rsidRPr="00056A8A">
        <w:rPr>
          <w:rFonts w:ascii="Garamond" w:eastAsia="Times New Roman" w:hAnsi="Garamond" w:cs="Times New Roman"/>
          <w:lang w:eastAsia="pl-PL"/>
        </w:rPr>
        <w:t>rozrywalnej</w:t>
      </w:r>
      <w:proofErr w:type="spellEnd"/>
      <w:r w:rsidRPr="00056A8A">
        <w:rPr>
          <w:rFonts w:ascii="Garamond" w:eastAsia="Times New Roman" w:hAnsi="Garamond" w:cs="Times New Roman"/>
          <w:lang w:eastAsia="pl-PL"/>
        </w:rPr>
        <w:t xml:space="preserve"> koszulki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- silikonowe przedłużki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- złącze typu PEEK odporne na ekstremalne obciążenia chemiczne i mechaniczne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- zacisk na cewnik ze skrzydełkami do mocowania na skórze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- wskaźniki wypełnienia, rozmiar i długość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- kompatybilny z MRI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 xml:space="preserve">- odporna na odkształcenia prowadnica „J” z wysoką zawartością tytanu zapewniająca wyjątkowo wysoką elastyczność i odporność na odkształcenia , dodatkowy komfort zapewnia powłoka z PTFE, która gwarantuje gładką powierzchnię i najwyższy poślizg 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- adapter wypełniający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- zacisk cewnika ze skrzydełkami do mocowania na skórze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- igła wprowadzająca 18G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- rozszerzadła 12 Fr i 16 Fr</w:t>
      </w:r>
    </w:p>
    <w:p w:rsidR="00056A8A" w:rsidRPr="00056A8A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 xml:space="preserve">- nasadki iniekcyjne </w:t>
      </w:r>
      <w:proofErr w:type="spellStart"/>
      <w:r w:rsidRPr="00056A8A">
        <w:rPr>
          <w:rFonts w:ascii="Garamond" w:eastAsia="Times New Roman" w:hAnsi="Garamond" w:cs="Times New Roman"/>
          <w:lang w:eastAsia="pl-PL"/>
        </w:rPr>
        <w:t>Luer</w:t>
      </w:r>
      <w:proofErr w:type="spellEnd"/>
      <w:r w:rsidRPr="00056A8A">
        <w:rPr>
          <w:rFonts w:ascii="Garamond" w:eastAsia="Times New Roman" w:hAnsi="Garamond" w:cs="Times New Roman"/>
          <w:lang w:eastAsia="pl-PL"/>
        </w:rPr>
        <w:t xml:space="preserve"> Lock</w:t>
      </w:r>
    </w:p>
    <w:p w:rsidR="00375D3E" w:rsidRPr="00942C2D" w:rsidRDefault="00056A8A" w:rsidP="00056A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- kleszczyki – 2 szt.</w:t>
      </w:r>
    </w:p>
    <w:p w:rsidR="00770B17" w:rsidRPr="00942C2D" w:rsidRDefault="00770B17" w:rsidP="00770B1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Zamawiający</w:t>
      </w:r>
      <w:r>
        <w:rPr>
          <w:rFonts w:ascii="Garamond" w:eastAsia="Times New Roman" w:hAnsi="Garamond" w:cs="Times New Roman"/>
          <w:lang w:eastAsia="pl-PL"/>
        </w:rPr>
        <w:t xml:space="preserve"> wymaga zgodnie z zapisami SWZ</w:t>
      </w:r>
      <w:r w:rsidRPr="00942C2D">
        <w:rPr>
          <w:rFonts w:ascii="Garamond" w:eastAsia="Times New Roman" w:hAnsi="Garamond" w:cs="Times New Roman"/>
          <w:lang w:eastAsia="pl-PL"/>
        </w:rPr>
        <w:t>.</w:t>
      </w:r>
    </w:p>
    <w:p w:rsidR="00375D3E" w:rsidRPr="00942C2D" w:rsidRDefault="00375D3E" w:rsidP="00375D3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E1600" w:rsidRPr="00942C2D" w:rsidRDefault="002E1600" w:rsidP="00375D3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E03A86" w:rsidRPr="00942C2D">
        <w:rPr>
          <w:rFonts w:ascii="Garamond" w:eastAsia="Times New Roman" w:hAnsi="Garamond" w:cs="Times New Roman"/>
          <w:b/>
          <w:bCs/>
          <w:lang w:eastAsia="pl-PL"/>
        </w:rPr>
        <w:t>5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 xml:space="preserve">Czy Zamawiający wyrazi zgodę na wydzielenie pozycji 2 z części 1 i stworzy </w:t>
      </w:r>
      <w:r>
        <w:rPr>
          <w:rFonts w:ascii="Garamond" w:eastAsia="Times New Roman" w:hAnsi="Garamond" w:cs="Times New Roman"/>
          <w:lang w:eastAsia="pl-PL"/>
        </w:rPr>
        <w:t>osobny pakiet dla tych pozycji?</w:t>
      </w:r>
    </w:p>
    <w:p w:rsidR="00375D3E" w:rsidRPr="00942C2D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Szczegółowe info</w:t>
      </w:r>
      <w:r>
        <w:rPr>
          <w:rFonts w:ascii="Garamond" w:eastAsia="Times New Roman" w:hAnsi="Garamond" w:cs="Times New Roman"/>
          <w:lang w:eastAsia="pl-PL"/>
        </w:rPr>
        <w:t>rmacje o produkcie w załączeniu</w:t>
      </w:r>
      <w:r w:rsidR="00895013" w:rsidRPr="00942C2D">
        <w:rPr>
          <w:rFonts w:ascii="Garamond" w:eastAsia="Times New Roman" w:hAnsi="Garamond" w:cs="Times New Roman"/>
          <w:lang w:eastAsia="pl-PL"/>
        </w:rPr>
        <w:t>.</w:t>
      </w:r>
    </w:p>
    <w:p w:rsidR="004415EF" w:rsidRPr="00942C2D" w:rsidRDefault="00AF1F80" w:rsidP="004415E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  <w:r w:rsidR="004415EF" w:rsidRPr="00942C2D">
        <w:rPr>
          <w:rFonts w:ascii="Garamond" w:eastAsia="Times New Roman" w:hAnsi="Garamond" w:cs="Times New Roman"/>
          <w:lang w:eastAsia="pl-PL"/>
        </w:rPr>
        <w:t xml:space="preserve">Zamawiający </w:t>
      </w:r>
      <w:r w:rsidR="00D76F99">
        <w:rPr>
          <w:rFonts w:ascii="Garamond" w:eastAsia="Times New Roman" w:hAnsi="Garamond" w:cs="Times New Roman"/>
          <w:lang w:eastAsia="pl-PL"/>
        </w:rPr>
        <w:t>nie wyraża zgody.</w:t>
      </w:r>
    </w:p>
    <w:p w:rsidR="00CA2445" w:rsidRPr="00CA2445" w:rsidRDefault="00CA2445" w:rsidP="00CA2445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CA2445">
        <w:rPr>
          <w:rFonts w:ascii="Garamond" w:eastAsia="Times New Roman" w:hAnsi="Garamond" w:cs="Times New Roman"/>
          <w:sz w:val="20"/>
          <w:szCs w:val="20"/>
          <w:lang w:eastAsia="pl-PL"/>
        </w:rPr>
        <w:t>* W załączeniu przedstawiam załącznik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2</w:t>
      </w:r>
      <w:r w:rsidRPr="00CA244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niniejszego</w:t>
      </w:r>
      <w:r w:rsidRPr="00CA244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pytania z ukrytymi danymi wskazującymi na źródło zapytania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.</w:t>
      </w:r>
    </w:p>
    <w:p w:rsidR="002E1600" w:rsidRPr="00942C2D" w:rsidRDefault="002E1600" w:rsidP="00375D3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E1600" w:rsidRPr="00942C2D" w:rsidRDefault="002E1600" w:rsidP="00375D3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E03A86" w:rsidRPr="00942C2D">
        <w:rPr>
          <w:rFonts w:ascii="Garamond" w:eastAsia="Times New Roman" w:hAnsi="Garamond" w:cs="Times New Roman"/>
          <w:b/>
          <w:bCs/>
          <w:lang w:eastAsia="pl-PL"/>
        </w:rPr>
        <w:t>6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 xml:space="preserve">Czy Zamawiający w pozycji 1 część 2 dopuści do postępowania cewnik </w:t>
      </w:r>
      <w:proofErr w:type="spellStart"/>
      <w:r w:rsidRPr="002D223F">
        <w:rPr>
          <w:rFonts w:ascii="Garamond" w:eastAsia="Times New Roman" w:hAnsi="Garamond" w:cs="Times New Roman"/>
          <w:lang w:eastAsia="pl-PL"/>
        </w:rPr>
        <w:t>dwuświatłowy</w:t>
      </w:r>
      <w:proofErr w:type="spellEnd"/>
      <w:r w:rsidRPr="002D223F">
        <w:rPr>
          <w:rFonts w:ascii="Garamond" w:eastAsia="Times New Roman" w:hAnsi="Garamond" w:cs="Times New Roman"/>
          <w:lang w:eastAsia="pl-PL"/>
        </w:rPr>
        <w:t xml:space="preserve"> wysokoprzepływowy (High </w:t>
      </w:r>
      <w:proofErr w:type="spellStart"/>
      <w:r w:rsidRPr="002D223F">
        <w:rPr>
          <w:rFonts w:ascii="Garamond" w:eastAsia="Times New Roman" w:hAnsi="Garamond" w:cs="Times New Roman"/>
          <w:lang w:eastAsia="pl-PL"/>
        </w:rPr>
        <w:t>Flow</w:t>
      </w:r>
      <w:proofErr w:type="spellEnd"/>
      <w:r w:rsidRPr="002D223F">
        <w:rPr>
          <w:rFonts w:ascii="Garamond" w:eastAsia="Times New Roman" w:hAnsi="Garamond" w:cs="Times New Roman"/>
          <w:lang w:eastAsia="pl-PL"/>
        </w:rPr>
        <w:t xml:space="preserve">) z termoplastycznego poliuretanu </w:t>
      </w:r>
      <w:proofErr w:type="spellStart"/>
      <w:r w:rsidRPr="002D223F">
        <w:rPr>
          <w:rFonts w:ascii="Garamond" w:eastAsia="Times New Roman" w:hAnsi="Garamond" w:cs="Times New Roman"/>
          <w:lang w:eastAsia="pl-PL"/>
        </w:rPr>
        <w:t>Tecoflex</w:t>
      </w:r>
      <w:proofErr w:type="spellEnd"/>
      <w:r w:rsidRPr="002D223F">
        <w:rPr>
          <w:rFonts w:ascii="Garamond" w:eastAsia="Times New Roman" w:hAnsi="Garamond" w:cs="Times New Roman"/>
          <w:lang w:eastAsia="pl-PL"/>
        </w:rPr>
        <w:t xml:space="preserve"> z ramionami prostymi lub zagiętymi o średnicy 11 Fr i 13 Fr i długościach: 15 cm, 17,5 cm, 20 cm, 25 cm oraz 13 Fr długość 30 ramiona proste</w:t>
      </w:r>
      <w:r>
        <w:rPr>
          <w:rFonts w:ascii="Garamond" w:eastAsia="Times New Roman" w:hAnsi="Garamond" w:cs="Times New Roman"/>
          <w:lang w:eastAsia="pl-PL"/>
        </w:rPr>
        <w:t xml:space="preserve"> do wyboru przez Zamawiającego?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Charakterystyka cewnika: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 xml:space="preserve">- termoplastyczny poliuretan </w:t>
      </w:r>
      <w:proofErr w:type="spellStart"/>
      <w:r w:rsidRPr="002D223F">
        <w:rPr>
          <w:rFonts w:ascii="Garamond" w:eastAsia="Times New Roman" w:hAnsi="Garamond" w:cs="Times New Roman"/>
          <w:lang w:eastAsia="pl-PL"/>
        </w:rPr>
        <w:t>Tecoflex</w:t>
      </w:r>
      <w:proofErr w:type="spellEnd"/>
      <w:r w:rsidRPr="002D223F">
        <w:rPr>
          <w:rFonts w:ascii="Garamond" w:eastAsia="Times New Roman" w:hAnsi="Garamond" w:cs="Times New Roman"/>
          <w:lang w:eastAsia="pl-PL"/>
        </w:rPr>
        <w:t xml:space="preserve"> 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 xml:space="preserve">- </w:t>
      </w:r>
      <w:proofErr w:type="spellStart"/>
      <w:r w:rsidRPr="002D223F">
        <w:rPr>
          <w:rFonts w:ascii="Garamond" w:eastAsia="Times New Roman" w:hAnsi="Garamond" w:cs="Times New Roman"/>
          <w:lang w:eastAsia="pl-PL"/>
        </w:rPr>
        <w:t>radiocieniujący</w:t>
      </w:r>
      <w:proofErr w:type="spellEnd"/>
      <w:r w:rsidRPr="002D223F">
        <w:rPr>
          <w:rFonts w:ascii="Garamond" w:eastAsia="Times New Roman" w:hAnsi="Garamond" w:cs="Times New Roman"/>
          <w:lang w:eastAsia="pl-PL"/>
        </w:rPr>
        <w:t xml:space="preserve"> </w:t>
      </w:r>
      <w:proofErr w:type="spellStart"/>
      <w:r w:rsidRPr="002D223F">
        <w:rPr>
          <w:rFonts w:ascii="Garamond" w:eastAsia="Times New Roman" w:hAnsi="Garamond" w:cs="Times New Roman"/>
          <w:lang w:eastAsia="pl-PL"/>
        </w:rPr>
        <w:t>szaft</w:t>
      </w:r>
      <w:proofErr w:type="spellEnd"/>
      <w:r w:rsidRPr="002D223F">
        <w:rPr>
          <w:rFonts w:ascii="Garamond" w:eastAsia="Times New Roman" w:hAnsi="Garamond" w:cs="Times New Roman"/>
          <w:lang w:eastAsia="pl-PL"/>
        </w:rPr>
        <w:t xml:space="preserve"> cewnika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 xml:space="preserve">- końcówka bez bocznych otworów zmniejszająca ryzyko powstawania zakrzepu 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- przednie otwory zmniejszające ryzyko powstawania zakrzepów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- obrotowy pierścień do szycia pozwalający uniknąć podrażnienia skóry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 xml:space="preserve">- zacisk bezpieczeństwa z zabezpieczeniami bocznymi chroniącymi rurkę końcówki przed wyślizgnięciem się 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- wskaźniki wypełnienia, rozmiar i długość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- kompatybilny z MRI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lastRenderedPageBreak/>
        <w:t xml:space="preserve">- odporna na odkształcenia prowadnica „J” z wysoką zawartością tytanu zapewniająca wyjątkowo wysoką elastyczność i odporność na odkształcenia , dodatkowy komfort zapewnia powłoka z PTFE, która gwarantuje gładką powierzchnię i najwyższy poślizg 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- igła wprowadzająca 18G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- rozszerzadło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 xml:space="preserve">- nasadki iniekcyjne </w:t>
      </w:r>
      <w:proofErr w:type="spellStart"/>
      <w:r w:rsidRPr="002D223F">
        <w:rPr>
          <w:rFonts w:ascii="Garamond" w:eastAsia="Times New Roman" w:hAnsi="Garamond" w:cs="Times New Roman"/>
          <w:lang w:eastAsia="pl-PL"/>
        </w:rPr>
        <w:t>Luer</w:t>
      </w:r>
      <w:proofErr w:type="spellEnd"/>
      <w:r w:rsidRPr="002D223F">
        <w:rPr>
          <w:rFonts w:ascii="Garamond" w:eastAsia="Times New Roman" w:hAnsi="Garamond" w:cs="Times New Roman"/>
          <w:lang w:eastAsia="pl-PL"/>
        </w:rPr>
        <w:t xml:space="preserve"> Lock</w:t>
      </w:r>
    </w:p>
    <w:p w:rsidR="00375D3E" w:rsidRPr="00942C2D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- wyprodukowany w Niemczech</w:t>
      </w:r>
    </w:p>
    <w:p w:rsidR="00770B17" w:rsidRPr="00942C2D" w:rsidRDefault="00770B17" w:rsidP="00770B1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Zamawiający</w:t>
      </w:r>
      <w:r>
        <w:rPr>
          <w:rFonts w:ascii="Garamond" w:eastAsia="Times New Roman" w:hAnsi="Garamond" w:cs="Times New Roman"/>
          <w:lang w:eastAsia="pl-PL"/>
        </w:rPr>
        <w:t xml:space="preserve"> wymaga zgodnie z zapisami SWZ</w:t>
      </w:r>
      <w:r w:rsidRPr="00942C2D">
        <w:rPr>
          <w:rFonts w:ascii="Garamond" w:eastAsia="Times New Roman" w:hAnsi="Garamond" w:cs="Times New Roman"/>
          <w:lang w:eastAsia="pl-PL"/>
        </w:rPr>
        <w:t>.</w:t>
      </w:r>
    </w:p>
    <w:p w:rsidR="00AF1F80" w:rsidRPr="00942C2D" w:rsidRDefault="00AF1F80" w:rsidP="00AF1F80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E1600" w:rsidRPr="00942C2D" w:rsidRDefault="002E1600" w:rsidP="00375D3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E03A86" w:rsidRPr="00942C2D">
        <w:rPr>
          <w:rFonts w:ascii="Garamond" w:eastAsia="Times New Roman" w:hAnsi="Garamond" w:cs="Times New Roman"/>
          <w:b/>
          <w:bCs/>
          <w:lang w:eastAsia="pl-PL"/>
        </w:rPr>
        <w:t>7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Czy Zamawiający wyrazi zgodę na wydzielenie pozycji 1 z części 2 i stworzy osobny pakiet dla tych pozycji?</w:t>
      </w:r>
    </w:p>
    <w:p w:rsidR="00284B31" w:rsidRPr="00942C2D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Szczegółowe informacje o produkcie w załączeniu</w:t>
      </w:r>
    </w:p>
    <w:p w:rsidR="00D76F99" w:rsidRPr="00942C2D" w:rsidRDefault="00D76F99" w:rsidP="00D76F9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Zamawiający </w:t>
      </w:r>
      <w:r>
        <w:rPr>
          <w:rFonts w:ascii="Garamond" w:eastAsia="Times New Roman" w:hAnsi="Garamond" w:cs="Times New Roman"/>
          <w:lang w:eastAsia="pl-PL"/>
        </w:rPr>
        <w:t>nie wyraża zgody.</w:t>
      </w:r>
    </w:p>
    <w:p w:rsidR="00CA2445" w:rsidRPr="00CA2445" w:rsidRDefault="00CA2445" w:rsidP="00CA2445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CA2445">
        <w:rPr>
          <w:rFonts w:ascii="Garamond" w:eastAsia="Times New Roman" w:hAnsi="Garamond" w:cs="Times New Roman"/>
          <w:sz w:val="20"/>
          <w:szCs w:val="20"/>
          <w:lang w:eastAsia="pl-PL"/>
        </w:rPr>
        <w:t>* W załączeniu przedstawiam załącznik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3</w:t>
      </w:r>
      <w:r w:rsidRPr="00CA244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niniejszego</w:t>
      </w:r>
      <w:r w:rsidRPr="00CA244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pytania z ukrytymi danymi wskazującymi na źródło zapytania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.</w:t>
      </w:r>
    </w:p>
    <w:p w:rsidR="00D73047" w:rsidRPr="00942C2D" w:rsidRDefault="00D73047" w:rsidP="00375D3E">
      <w:pPr>
        <w:spacing w:after="0" w:line="240" w:lineRule="auto"/>
        <w:jc w:val="both"/>
        <w:rPr>
          <w:rFonts w:ascii="Garamond" w:eastAsia="Times New Roman" w:hAnsi="Garamond" w:cs="Times New Roman"/>
          <w:lang w:val="en-GB" w:eastAsia="pl-PL"/>
        </w:rPr>
      </w:pPr>
    </w:p>
    <w:p w:rsidR="002E1600" w:rsidRPr="00942C2D" w:rsidRDefault="002E1600" w:rsidP="00D7304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E03A86" w:rsidRPr="00942C2D">
        <w:rPr>
          <w:rFonts w:ascii="Garamond" w:eastAsia="Times New Roman" w:hAnsi="Garamond" w:cs="Times New Roman"/>
          <w:b/>
          <w:bCs/>
          <w:lang w:eastAsia="pl-PL"/>
        </w:rPr>
        <w:t>8</w:t>
      </w:r>
    </w:p>
    <w:p w:rsidR="00D73047" w:rsidRPr="00942C2D" w:rsidRDefault="002D223F" w:rsidP="00D7304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Zwracamy się do zamawiającego z prośbą o wydzielenie z Części 5 poz. 4 do odrębnej Części. Pozwoli to na złożenie ofert większej ilości wykonawcom i przyczyni się do zwiększenia konkurencyjności cenowej ofert</w:t>
      </w:r>
    </w:p>
    <w:p w:rsidR="00C942AD" w:rsidRPr="00942C2D" w:rsidRDefault="00AF1F80" w:rsidP="00C942A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  <w:r w:rsidR="00C942AD" w:rsidRPr="00942C2D">
        <w:rPr>
          <w:rFonts w:ascii="Garamond" w:eastAsia="Times New Roman" w:hAnsi="Garamond" w:cs="Times New Roman"/>
          <w:lang w:eastAsia="pl-PL"/>
        </w:rPr>
        <w:t xml:space="preserve">Zamawiający </w:t>
      </w:r>
      <w:r w:rsidR="002D223F">
        <w:rPr>
          <w:rFonts w:ascii="Garamond" w:eastAsia="Times New Roman" w:hAnsi="Garamond" w:cs="Times New Roman"/>
          <w:lang w:eastAsia="pl-PL"/>
        </w:rPr>
        <w:t>nie wyraża zgody.</w:t>
      </w:r>
    </w:p>
    <w:p w:rsidR="002E1600" w:rsidRPr="00942C2D" w:rsidRDefault="002E1600" w:rsidP="00D7304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E1600" w:rsidRPr="00942C2D" w:rsidRDefault="002E1600" w:rsidP="00D7304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E03A86" w:rsidRPr="00942C2D">
        <w:rPr>
          <w:rFonts w:ascii="Garamond" w:eastAsia="Times New Roman" w:hAnsi="Garamond" w:cs="Times New Roman"/>
          <w:b/>
          <w:bCs/>
          <w:lang w:eastAsia="pl-PL"/>
        </w:rPr>
        <w:t>9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Czy w części 1 w pozycji 1 Zamawiający dopuści: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Cewnik: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- 11,5 Fr, dwukanałowy,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- długość 13,5 cm, 16 cm, 19,5cm, 24 cm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- z prostymi i zagiętymi końcówkami,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 xml:space="preserve">- wykonany z </w:t>
      </w:r>
      <w:proofErr w:type="spellStart"/>
      <w:r w:rsidRPr="002D223F">
        <w:rPr>
          <w:rFonts w:ascii="Garamond" w:eastAsia="Times New Roman" w:hAnsi="Garamond" w:cs="Times New Roman"/>
          <w:lang w:eastAsia="pl-PL"/>
        </w:rPr>
        <w:t>termoczułego</w:t>
      </w:r>
      <w:proofErr w:type="spellEnd"/>
      <w:r w:rsidRPr="002D223F">
        <w:rPr>
          <w:rFonts w:ascii="Garamond" w:eastAsia="Times New Roman" w:hAnsi="Garamond" w:cs="Times New Roman"/>
          <w:lang w:eastAsia="pl-PL"/>
        </w:rPr>
        <w:t xml:space="preserve"> materiału poliuretanu zapewniającego odporność na skręcanie i załamania oraz zapewniający sztywność podczas zakładania,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- końcówka schodkowa ogranicza recyrkulację,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- przepływ do 300 ml/min.</w:t>
      </w:r>
    </w:p>
    <w:p w:rsidR="00770B17" w:rsidRPr="00942C2D" w:rsidRDefault="00770B17" w:rsidP="00770B1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Zamawiający</w:t>
      </w:r>
      <w:r>
        <w:rPr>
          <w:rFonts w:ascii="Garamond" w:eastAsia="Times New Roman" w:hAnsi="Garamond" w:cs="Times New Roman"/>
          <w:lang w:eastAsia="pl-PL"/>
        </w:rPr>
        <w:t xml:space="preserve"> wymaga zgodnie z zapisami SWZ</w:t>
      </w:r>
      <w:r w:rsidRPr="00942C2D">
        <w:rPr>
          <w:rFonts w:ascii="Garamond" w:eastAsia="Times New Roman" w:hAnsi="Garamond" w:cs="Times New Roman"/>
          <w:lang w:eastAsia="pl-PL"/>
        </w:rPr>
        <w:t>.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D223F" w:rsidRPr="00942C2D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Pytanie 10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Czy w części 1 pozycja 2 Zamawiający dopuści: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Cewnik: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 xml:space="preserve">- przekrój 14,5 Fr </w:t>
      </w:r>
      <w:proofErr w:type="spellStart"/>
      <w:r w:rsidRPr="002D223F">
        <w:rPr>
          <w:rFonts w:ascii="Garamond" w:eastAsia="Times New Roman" w:hAnsi="Garamond" w:cs="Times New Roman"/>
          <w:lang w:eastAsia="pl-PL"/>
        </w:rPr>
        <w:t>dwuświatłowy</w:t>
      </w:r>
      <w:proofErr w:type="spellEnd"/>
      <w:r w:rsidRPr="002D223F">
        <w:rPr>
          <w:rFonts w:ascii="Garamond" w:eastAsia="Times New Roman" w:hAnsi="Garamond" w:cs="Times New Roman"/>
          <w:lang w:eastAsia="pl-PL"/>
        </w:rPr>
        <w:t>, podwójne D,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 xml:space="preserve">- długość od mufki: 19, 23, 28, 33 cm, 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- dystalne zakończenie cewnika typu schodkowego zapobiega recyrkulacji i wykrzepianiu krwi,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- końcówka zaopatrzona w otwory boczne zapobiegające przysysaniu cewnika do ściany naczynia,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- posiada mufkę dakronową umożliwiającą optymalne wrastanie tkanki,</w:t>
      </w:r>
    </w:p>
    <w:p w:rsidR="00D73047" w:rsidRPr="00942C2D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 xml:space="preserve">- wykonany z </w:t>
      </w:r>
      <w:proofErr w:type="spellStart"/>
      <w:r w:rsidRPr="002D223F">
        <w:rPr>
          <w:rFonts w:ascii="Garamond" w:eastAsia="Times New Roman" w:hAnsi="Garamond" w:cs="Times New Roman"/>
          <w:lang w:eastAsia="pl-PL"/>
        </w:rPr>
        <w:t>carbothanu</w:t>
      </w:r>
      <w:proofErr w:type="spellEnd"/>
      <w:r w:rsidRPr="002D223F">
        <w:rPr>
          <w:rFonts w:ascii="Garamond" w:eastAsia="Times New Roman" w:hAnsi="Garamond" w:cs="Times New Roman"/>
          <w:lang w:eastAsia="pl-PL"/>
        </w:rPr>
        <w:t>, materiału wytrzymałego, miękkiego, elastycznego.</w:t>
      </w:r>
    </w:p>
    <w:p w:rsidR="00C942AD" w:rsidRPr="00942C2D" w:rsidRDefault="00AF1F80" w:rsidP="00C942A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  <w:r w:rsidR="00C942AD" w:rsidRPr="00942C2D">
        <w:rPr>
          <w:rFonts w:ascii="Garamond" w:eastAsia="Times New Roman" w:hAnsi="Garamond" w:cs="Times New Roman"/>
          <w:lang w:eastAsia="pl-PL"/>
        </w:rPr>
        <w:t xml:space="preserve">Zamawiający </w:t>
      </w:r>
      <w:r w:rsidR="00770B17">
        <w:rPr>
          <w:rFonts w:ascii="Garamond" w:eastAsia="Times New Roman" w:hAnsi="Garamond" w:cs="Times New Roman"/>
          <w:lang w:eastAsia="pl-PL"/>
        </w:rPr>
        <w:t>dopuszcza (przy zachowaniu pozostałych parametrów pierwotnego opisu przedmiotu zamówienia w części 1 poz. 2).</w:t>
      </w:r>
    </w:p>
    <w:p w:rsidR="002E1600" w:rsidRPr="00942C2D" w:rsidRDefault="002E1600" w:rsidP="00D7304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E1600" w:rsidRPr="00942C2D" w:rsidRDefault="002E1600" w:rsidP="00D7304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E03A86" w:rsidRPr="00942C2D">
        <w:rPr>
          <w:rFonts w:ascii="Garamond" w:eastAsia="Times New Roman" w:hAnsi="Garamond" w:cs="Times New Roman"/>
          <w:b/>
          <w:bCs/>
          <w:lang w:eastAsia="pl-PL"/>
        </w:rPr>
        <w:t>11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CZEŚĆ NR 3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PKT. 1 i 2 Czy Zamawiający dopuści produkt: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 xml:space="preserve">Adsorber pełnej krwi  wskazany do stosowania w warunkach, w których poziomy cytokin, DAMPS i / lub PAMPS i / lub mioglobiny są podwyższone, składający się z </w:t>
      </w:r>
      <w:proofErr w:type="spellStart"/>
      <w:r w:rsidRPr="002D223F">
        <w:rPr>
          <w:rFonts w:ascii="Garamond" w:eastAsia="Times New Roman" w:hAnsi="Garamond" w:cs="Times New Roman"/>
          <w:lang w:eastAsia="pl-PL"/>
        </w:rPr>
        <w:t>biokompatybilnych</w:t>
      </w:r>
      <w:proofErr w:type="spellEnd"/>
      <w:r w:rsidRPr="002D223F">
        <w:rPr>
          <w:rFonts w:ascii="Garamond" w:eastAsia="Times New Roman" w:hAnsi="Garamond" w:cs="Times New Roman"/>
          <w:lang w:eastAsia="pl-PL"/>
        </w:rPr>
        <w:t xml:space="preserve"> wysoce selektywnych </w:t>
      </w:r>
      <w:r w:rsidRPr="002D223F">
        <w:rPr>
          <w:rFonts w:ascii="Garamond" w:eastAsia="Times New Roman" w:hAnsi="Garamond" w:cs="Times New Roman"/>
          <w:lang w:eastAsia="pl-PL"/>
        </w:rPr>
        <w:lastRenderedPageBreak/>
        <w:t xml:space="preserve">garnulek neutralnej żywicy </w:t>
      </w:r>
      <w:proofErr w:type="spellStart"/>
      <w:r w:rsidRPr="002D223F">
        <w:rPr>
          <w:rFonts w:ascii="Garamond" w:eastAsia="Times New Roman" w:hAnsi="Garamond" w:cs="Times New Roman"/>
          <w:lang w:eastAsia="pl-PL"/>
        </w:rPr>
        <w:t>markoporowej</w:t>
      </w:r>
      <w:proofErr w:type="spellEnd"/>
      <w:r w:rsidRPr="002D223F">
        <w:rPr>
          <w:rFonts w:ascii="Garamond" w:eastAsia="Times New Roman" w:hAnsi="Garamond" w:cs="Times New Roman"/>
          <w:lang w:eastAsia="pl-PL"/>
        </w:rPr>
        <w:t xml:space="preserve">. Całkowita powierzchnia adsorpcji jednego filtru  &gt; 50 000 m2, objętość 330ml. Szybkości przepływu krwi w zakresie 100 do 700 ml / min. Ze względu na dużą powierzchnię </w:t>
      </w:r>
      <w:proofErr w:type="spellStart"/>
      <w:r w:rsidRPr="002D223F">
        <w:rPr>
          <w:rFonts w:ascii="Garamond" w:eastAsia="Times New Roman" w:hAnsi="Garamond" w:cs="Times New Roman"/>
          <w:lang w:eastAsia="pl-PL"/>
        </w:rPr>
        <w:t>adsorbcji</w:t>
      </w:r>
      <w:proofErr w:type="spellEnd"/>
      <w:r w:rsidRPr="002D223F">
        <w:rPr>
          <w:rFonts w:ascii="Garamond" w:eastAsia="Times New Roman" w:hAnsi="Garamond" w:cs="Times New Roman"/>
          <w:lang w:eastAsia="pl-PL"/>
        </w:rPr>
        <w:t xml:space="preserve"> zalecany czas leczenia pojedynczym adsorberem: do 12 godzin podczas 3 kolejnych dób. Adsorbuje substancje hydrofobowe do 60 </w:t>
      </w:r>
      <w:proofErr w:type="spellStart"/>
      <w:r w:rsidRPr="002D223F">
        <w:rPr>
          <w:rFonts w:ascii="Garamond" w:eastAsia="Times New Roman" w:hAnsi="Garamond" w:cs="Times New Roman"/>
          <w:lang w:eastAsia="pl-PL"/>
        </w:rPr>
        <w:t>kDa</w:t>
      </w:r>
      <w:proofErr w:type="spellEnd"/>
      <w:r w:rsidRPr="002D223F">
        <w:rPr>
          <w:rFonts w:ascii="Garamond" w:eastAsia="Times New Roman" w:hAnsi="Garamond" w:cs="Times New Roman"/>
          <w:lang w:eastAsia="pl-PL"/>
        </w:rPr>
        <w:t>, nie aktywuje krzepnięcia i nie usuwa immunoglobulin ani czynników krzepnięcia. W skład zestawu wchodzi adsorber, adaptery podłączeniowe do CRRT lub CPB do wyboru przez Zamawiającego, zestaw do przepłukiwania adsorbera. Wraz z dostawą Wykonawca dostarczy uchwyt do adsorbera.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Przydatność do użycia min. 20 miesięcy od daty dostawy do Zamawiającego. Sterylizowany w promieniowaniu gamma.</w:t>
      </w:r>
    </w:p>
    <w:p w:rsidR="00770B17" w:rsidRPr="00942C2D" w:rsidRDefault="00770B17" w:rsidP="00770B1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Zamawiający</w:t>
      </w:r>
      <w:r>
        <w:rPr>
          <w:rFonts w:ascii="Garamond" w:eastAsia="Times New Roman" w:hAnsi="Garamond" w:cs="Times New Roman"/>
          <w:lang w:eastAsia="pl-PL"/>
        </w:rPr>
        <w:t xml:space="preserve"> wymaga zgodnie z zapisami SWZ</w:t>
      </w:r>
      <w:r w:rsidRPr="00942C2D">
        <w:rPr>
          <w:rFonts w:ascii="Garamond" w:eastAsia="Times New Roman" w:hAnsi="Garamond" w:cs="Times New Roman"/>
          <w:lang w:eastAsia="pl-PL"/>
        </w:rPr>
        <w:t>.</w:t>
      </w:r>
    </w:p>
    <w:p w:rsid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2D223F" w:rsidRPr="00942C2D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Pytanie 12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CZEŚĆ NR 3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PKT. 1 i 2 Czy Zamawiający dopuści produkt: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 xml:space="preserve">Adsorber pełnej krwi  wskazany do stosowania w warunkach, w których poziomy cytokin, DAMPS i / lub PAMPS i / lub mioglobiny są podwyższone, składający się z </w:t>
      </w:r>
      <w:proofErr w:type="spellStart"/>
      <w:r w:rsidRPr="002D223F">
        <w:rPr>
          <w:rFonts w:ascii="Garamond" w:eastAsia="Times New Roman" w:hAnsi="Garamond" w:cs="Times New Roman"/>
          <w:lang w:eastAsia="pl-PL"/>
        </w:rPr>
        <w:t>biokompatybilnych</w:t>
      </w:r>
      <w:proofErr w:type="spellEnd"/>
      <w:r w:rsidRPr="002D223F">
        <w:rPr>
          <w:rFonts w:ascii="Garamond" w:eastAsia="Times New Roman" w:hAnsi="Garamond" w:cs="Times New Roman"/>
          <w:lang w:eastAsia="pl-PL"/>
        </w:rPr>
        <w:t xml:space="preserve"> wysoce selektywnych garnulek neutralnej żywicy </w:t>
      </w:r>
      <w:proofErr w:type="spellStart"/>
      <w:r w:rsidRPr="002D223F">
        <w:rPr>
          <w:rFonts w:ascii="Garamond" w:eastAsia="Times New Roman" w:hAnsi="Garamond" w:cs="Times New Roman"/>
          <w:lang w:eastAsia="pl-PL"/>
        </w:rPr>
        <w:t>markoporowej</w:t>
      </w:r>
      <w:proofErr w:type="spellEnd"/>
      <w:r w:rsidRPr="002D223F">
        <w:rPr>
          <w:rFonts w:ascii="Garamond" w:eastAsia="Times New Roman" w:hAnsi="Garamond" w:cs="Times New Roman"/>
          <w:lang w:eastAsia="pl-PL"/>
        </w:rPr>
        <w:t xml:space="preserve">. Całkowita powierzchnia adsorpcji jednego filtru  &gt; 50 000 m2, objętość 380ml. Szybkości przepływu krwi w zakresie 100 do 700 ml / min. Ze względu na dużą powierzchnię </w:t>
      </w:r>
      <w:proofErr w:type="spellStart"/>
      <w:r w:rsidRPr="002D223F">
        <w:rPr>
          <w:rFonts w:ascii="Garamond" w:eastAsia="Times New Roman" w:hAnsi="Garamond" w:cs="Times New Roman"/>
          <w:lang w:eastAsia="pl-PL"/>
        </w:rPr>
        <w:t>adsorbcji</w:t>
      </w:r>
      <w:proofErr w:type="spellEnd"/>
      <w:r w:rsidRPr="002D223F">
        <w:rPr>
          <w:rFonts w:ascii="Garamond" w:eastAsia="Times New Roman" w:hAnsi="Garamond" w:cs="Times New Roman"/>
          <w:lang w:eastAsia="pl-PL"/>
        </w:rPr>
        <w:t xml:space="preserve"> zalecany czas leczenia pojedynczym adsorberem: do 12 godzin podczas 3 kolejnych dób. Adsorbuje substancje hydrofobowe do 60 </w:t>
      </w:r>
      <w:proofErr w:type="spellStart"/>
      <w:r w:rsidRPr="002D223F">
        <w:rPr>
          <w:rFonts w:ascii="Garamond" w:eastAsia="Times New Roman" w:hAnsi="Garamond" w:cs="Times New Roman"/>
          <w:lang w:eastAsia="pl-PL"/>
        </w:rPr>
        <w:t>kDa</w:t>
      </w:r>
      <w:proofErr w:type="spellEnd"/>
      <w:r w:rsidRPr="002D223F">
        <w:rPr>
          <w:rFonts w:ascii="Garamond" w:eastAsia="Times New Roman" w:hAnsi="Garamond" w:cs="Times New Roman"/>
          <w:lang w:eastAsia="pl-PL"/>
        </w:rPr>
        <w:t>, nie aktywuje krzepnięcia i nie usuwa immunoglobulin ani czynników krzepnięcia. W skład zestawu wchodzi adsorber, adaptery podłączeniowe do CRRT lub CPB do wyboru przez Zamawiającego, zestaw do przepłukiwania adsorbera. Wraz z dostawą Wykonawca dostarczy uchwyt do adsorbera.</w:t>
      </w:r>
    </w:p>
    <w:p w:rsidR="00D73047" w:rsidRPr="00942C2D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Przydatność do użycia min. 20 miesięcy od daty dostawy do Zamawiającego. Sterylizowany w promieniowaniu gamma.</w:t>
      </w:r>
    </w:p>
    <w:p w:rsidR="00770B17" w:rsidRPr="00942C2D" w:rsidRDefault="00770B17" w:rsidP="00770B1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Zamawiający</w:t>
      </w:r>
      <w:r>
        <w:rPr>
          <w:rFonts w:ascii="Garamond" w:eastAsia="Times New Roman" w:hAnsi="Garamond" w:cs="Times New Roman"/>
          <w:lang w:eastAsia="pl-PL"/>
        </w:rPr>
        <w:t xml:space="preserve"> wymaga zgodnie z zapisami SWZ</w:t>
      </w:r>
      <w:r w:rsidRPr="00942C2D">
        <w:rPr>
          <w:rFonts w:ascii="Garamond" w:eastAsia="Times New Roman" w:hAnsi="Garamond" w:cs="Times New Roman"/>
          <w:lang w:eastAsia="pl-PL"/>
        </w:rPr>
        <w:t>.</w:t>
      </w:r>
    </w:p>
    <w:p w:rsidR="002E1600" w:rsidRPr="00942C2D" w:rsidRDefault="002E1600" w:rsidP="00D7304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E1600" w:rsidRPr="00942C2D" w:rsidRDefault="002E1600" w:rsidP="00D7304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E03A86" w:rsidRPr="00942C2D">
        <w:rPr>
          <w:rFonts w:ascii="Garamond" w:eastAsia="Times New Roman" w:hAnsi="Garamond" w:cs="Times New Roman"/>
          <w:b/>
          <w:bCs/>
          <w:lang w:eastAsia="pl-PL"/>
        </w:rPr>
        <w:t>13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 xml:space="preserve">W celu zapewnienia równego traktowania stron umowy i umożliwienia Wykonawcy sprawdzenia zasadności reklamacji wnosimy o wprowadzenie w § 6 ust. 2 projektu umowy 5 dniowego terminu na rozpatrzenie reklamacji oraz zmianę słów ,,…od dnia otrzymania zawiadomienia” na ,,…od dnia uznania reklamacji”.                                                        </w:t>
      </w:r>
    </w:p>
    <w:p w:rsidR="002D223F" w:rsidRPr="00942C2D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  <w:r w:rsidR="00D76F99" w:rsidRPr="00D76F99">
        <w:rPr>
          <w:rFonts w:ascii="Garamond" w:eastAsia="Times New Roman" w:hAnsi="Garamond" w:cs="Times New Roman"/>
          <w:lang w:eastAsia="pl-PL"/>
        </w:rPr>
        <w:t>Zamawiający nie wyraża zgody. Wzór umowy pozostaje bez zmian.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D223F" w:rsidRPr="00942C2D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Pytanie 14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Czy w celu miarkowania kar umownych Zamawiający dokona modyfikacji postanowień projektu przyszłej umowy w zakresie zapisów § 7  ust. 2 i 3 :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2. Wykonawca zobowiązuje się do zapłaty na rzecz Szpitala Uniwersyteckiego kar umownych zgodnie z poniższymi zasadami: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1) za nieterminową dostawę, w wysokości 0,5% wartości brutto niezrealizowanej dostawy (jednak nie mniej niż 15 zł) za każdy rozpoczęty dzień zwłoki ponad termin określony w § 3, jednak nie więcej niż 10 % wartości brutto niezrealizowanej w terminie dostawy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 xml:space="preserve">2) za niedostarczenie w terminie dokumentu o którym mowa w §4 ust. 3 w terminie wskazanym w wysokości 50 zł brutto za każdy rozpoczęty dzień zwłoki, jednak nie </w:t>
      </w:r>
      <w:proofErr w:type="spellStart"/>
      <w:r w:rsidRPr="002D223F">
        <w:rPr>
          <w:rFonts w:ascii="Garamond" w:eastAsia="Times New Roman" w:hAnsi="Garamond" w:cs="Times New Roman"/>
          <w:lang w:eastAsia="pl-PL"/>
        </w:rPr>
        <w:t>wiecej</w:t>
      </w:r>
      <w:proofErr w:type="spellEnd"/>
      <w:r w:rsidRPr="002D223F">
        <w:rPr>
          <w:rFonts w:ascii="Garamond" w:eastAsia="Times New Roman" w:hAnsi="Garamond" w:cs="Times New Roman"/>
          <w:lang w:eastAsia="pl-PL"/>
        </w:rPr>
        <w:t xml:space="preserve"> niż 10 % wartości brutto przedmiotu umowy którego dotyczą nied</w:t>
      </w:r>
      <w:r>
        <w:rPr>
          <w:rFonts w:ascii="Garamond" w:eastAsia="Times New Roman" w:hAnsi="Garamond" w:cs="Times New Roman"/>
          <w:lang w:eastAsia="pl-PL"/>
        </w:rPr>
        <w:t>ostarczone w terminie dokumenty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3. W przypadku odstąpienia od Umowy lub rozwiązania Umowy przez Szpital Uniwersytecki z przyczyn leżących po stronie Wykonawcy, Wykonawca zobowiązuje się do zapłaty kary umownej w wysokości 10% wartości brutto niezrealizowanej części Umowy. Kara, o której mowa w zdaniu poprzednim dotyczy odstąpienia w trybie przepisów kodeksu cywilnego, a także odstąpienia przewidzianego w Umowie.</w:t>
      </w:r>
    </w:p>
    <w:p w:rsidR="002D223F" w:rsidRPr="00942C2D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  <w:r w:rsidR="00D76F99" w:rsidRPr="00D76F99">
        <w:rPr>
          <w:rFonts w:ascii="Garamond" w:eastAsia="Times New Roman" w:hAnsi="Garamond" w:cs="Times New Roman"/>
          <w:lang w:eastAsia="pl-PL"/>
        </w:rPr>
        <w:t xml:space="preserve">Zamawiający </w:t>
      </w:r>
      <w:r w:rsidR="00D76F99">
        <w:rPr>
          <w:rFonts w:ascii="Garamond" w:eastAsia="Times New Roman" w:hAnsi="Garamond" w:cs="Times New Roman"/>
          <w:lang w:eastAsia="pl-PL"/>
        </w:rPr>
        <w:t>wyraża zgodę</w:t>
      </w:r>
      <w:r w:rsidR="00D76F99" w:rsidRPr="00D76F99">
        <w:rPr>
          <w:rFonts w:ascii="Garamond" w:eastAsia="Times New Roman" w:hAnsi="Garamond" w:cs="Times New Roman"/>
          <w:lang w:eastAsia="pl-PL"/>
        </w:rPr>
        <w:t xml:space="preserve"> na wykreślenie</w:t>
      </w:r>
      <w:r w:rsidR="00D76F99">
        <w:rPr>
          <w:rFonts w:ascii="Garamond" w:eastAsia="Times New Roman" w:hAnsi="Garamond" w:cs="Times New Roman"/>
          <w:lang w:eastAsia="pl-PL"/>
        </w:rPr>
        <w:t xml:space="preserve"> we wzorze umowy</w:t>
      </w:r>
      <w:r w:rsidR="00D76F99" w:rsidRPr="00D76F99">
        <w:rPr>
          <w:rFonts w:ascii="Garamond" w:eastAsia="Times New Roman" w:hAnsi="Garamond" w:cs="Times New Roman"/>
          <w:lang w:eastAsia="pl-PL"/>
        </w:rPr>
        <w:t xml:space="preserve"> §7 ust. 2 pkt.</w:t>
      </w:r>
      <w:r w:rsidR="00D76F99">
        <w:rPr>
          <w:rFonts w:ascii="Garamond" w:eastAsia="Times New Roman" w:hAnsi="Garamond" w:cs="Times New Roman"/>
          <w:lang w:eastAsia="pl-PL"/>
        </w:rPr>
        <w:t xml:space="preserve"> </w:t>
      </w:r>
      <w:r w:rsidR="00D76F99" w:rsidRPr="00D76F99">
        <w:rPr>
          <w:rFonts w:ascii="Garamond" w:eastAsia="Times New Roman" w:hAnsi="Garamond" w:cs="Times New Roman"/>
          <w:lang w:eastAsia="pl-PL"/>
        </w:rPr>
        <w:t>2. W pozostałym zakresie Zamawiający nie wyraża zgody.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2D223F" w:rsidRPr="002D223F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D223F" w:rsidRPr="00942C2D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Pytanie 15</w:t>
      </w:r>
    </w:p>
    <w:p w:rsidR="007F208A" w:rsidRPr="00942C2D" w:rsidRDefault="002D223F" w:rsidP="002D223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223F">
        <w:rPr>
          <w:rFonts w:ascii="Garamond" w:eastAsia="Times New Roman" w:hAnsi="Garamond" w:cs="Times New Roman"/>
          <w:lang w:eastAsia="pl-PL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D76F99" w:rsidRPr="00D76F99" w:rsidRDefault="00AF1F80" w:rsidP="00D76F9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  <w:r w:rsidR="00D76F99" w:rsidRPr="00D76F99">
        <w:rPr>
          <w:rFonts w:ascii="Garamond" w:eastAsia="Times New Roman" w:hAnsi="Garamond" w:cs="Times New Roman"/>
          <w:lang w:eastAsia="pl-PL"/>
        </w:rPr>
        <w:t>Zamawiający wyraża zgodę. Zmianie ulega brzmienie §4 ust. 2</w:t>
      </w:r>
      <w:r w:rsidR="00D76F99">
        <w:rPr>
          <w:rFonts w:ascii="Garamond" w:eastAsia="Times New Roman" w:hAnsi="Garamond" w:cs="Times New Roman"/>
          <w:lang w:eastAsia="pl-PL"/>
        </w:rPr>
        <w:t xml:space="preserve"> wzoru umowy,</w:t>
      </w:r>
      <w:r w:rsidR="00D76F99" w:rsidRPr="00D76F99">
        <w:rPr>
          <w:rFonts w:ascii="Garamond" w:eastAsia="Times New Roman" w:hAnsi="Garamond" w:cs="Times New Roman"/>
          <w:lang w:eastAsia="pl-PL"/>
        </w:rPr>
        <w:t xml:space="preserve"> który przyjmuje następujące brzmienie:</w:t>
      </w:r>
    </w:p>
    <w:p w:rsidR="00D76F99" w:rsidRPr="00D76F99" w:rsidRDefault="00D76F99" w:rsidP="00D76F9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„§4 ust. </w:t>
      </w:r>
      <w:r w:rsidRPr="00D76F99">
        <w:rPr>
          <w:rFonts w:ascii="Garamond" w:eastAsia="Times New Roman" w:hAnsi="Garamond" w:cs="Times New Roman"/>
          <w:lang w:eastAsia="pl-PL"/>
        </w:rPr>
        <w:t xml:space="preserve">2. Zapłata za produkty następować będzie na podstawie faktur zaakceptowanych pod względem ilościowym i jakościowym przez Kierownika Działu Zaopatrzenia, określających ilość dostarczonych produktów, których ceny jednostkowe określone są w załączniku nr 1. Wykonawca zobowiązuje się dostarczyć Szpitalowi Uniwersyteckiemu fakturę za produkty w dwóch egzemplarzach oraz dodatkowo obraz faktury w wersji elektronicznej (poczta elektroniczna sekcjazaopatrzenia@su.krakow.pl) w standardzie ,,DATAFARM” lub ,,MALICKI/ lub PDF lub wyłącznie przesłać fakturę w formacie PDF na adres e-mail sekcjazaopatrzenia@su.krakow.pl. Korekty, duplikaty faktur oraz noty obciążeniowe i korygujące również mogą być przesyłane na wskazany powyżej adres e-mail. Postanowienia ustawy z dnia 9 listopada 2018 r. o elektronicznym fakturowaniu </w:t>
      </w:r>
    </w:p>
    <w:p w:rsidR="008505DA" w:rsidRPr="00942C2D" w:rsidRDefault="00D76F99" w:rsidP="00D76F9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76F99">
        <w:rPr>
          <w:rFonts w:ascii="Garamond" w:eastAsia="Times New Roman" w:hAnsi="Garamond" w:cs="Times New Roman"/>
          <w:lang w:eastAsia="pl-PL"/>
        </w:rPr>
        <w:t>w zamówieniach publicznych, koncesjach na roboty budowlane lub usługi oraz partnerstwie publiczno-prywatnym znajdują odpowiednie zastosowanie.”</w:t>
      </w:r>
      <w:r w:rsidR="008505DA"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9219C1" w:rsidRPr="00942C2D" w:rsidRDefault="009219C1" w:rsidP="009219C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E1600" w:rsidRPr="00942C2D" w:rsidRDefault="002E1600" w:rsidP="009219C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E03A86" w:rsidRPr="00942C2D">
        <w:rPr>
          <w:rFonts w:ascii="Garamond" w:eastAsia="Times New Roman" w:hAnsi="Garamond" w:cs="Times New Roman"/>
          <w:b/>
          <w:bCs/>
          <w:lang w:eastAsia="pl-PL"/>
        </w:rPr>
        <w:t>16</w:t>
      </w:r>
    </w:p>
    <w:p w:rsidR="00F9372B" w:rsidRPr="00F9372B" w:rsidRDefault="00F9372B" w:rsidP="00F9372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9372B">
        <w:rPr>
          <w:rFonts w:ascii="Garamond" w:eastAsia="Times New Roman" w:hAnsi="Garamond" w:cs="Times New Roman"/>
          <w:lang w:eastAsia="pl-PL"/>
        </w:rPr>
        <w:t>Pakiet 1 poz. 1</w:t>
      </w:r>
    </w:p>
    <w:p w:rsidR="00F9372B" w:rsidRPr="00F9372B" w:rsidRDefault="00F9372B" w:rsidP="00F9372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9372B">
        <w:rPr>
          <w:rFonts w:ascii="Garamond" w:eastAsia="Times New Roman" w:hAnsi="Garamond" w:cs="Times New Roman"/>
          <w:lang w:eastAsia="pl-PL"/>
        </w:rPr>
        <w:t>Prosimy Zamawiającego o dopuszczenie w pakiecie 1 poz. 1 cewników tylko w długościach 15 cm, 20</w:t>
      </w:r>
    </w:p>
    <w:p w:rsidR="009219C1" w:rsidRPr="00942C2D" w:rsidRDefault="00F9372B" w:rsidP="00F9372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9372B">
        <w:rPr>
          <w:rFonts w:ascii="Garamond" w:eastAsia="Times New Roman" w:hAnsi="Garamond" w:cs="Times New Roman"/>
          <w:lang w:eastAsia="pl-PL"/>
        </w:rPr>
        <w:t>cm, 24 cm, pozostałe parametry zgodnie z SWZ.</w:t>
      </w:r>
    </w:p>
    <w:p w:rsidR="00770B17" w:rsidRPr="00942C2D" w:rsidRDefault="00770B17" w:rsidP="00770B1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Zamawiający</w:t>
      </w:r>
      <w:r>
        <w:rPr>
          <w:rFonts w:ascii="Garamond" w:eastAsia="Times New Roman" w:hAnsi="Garamond" w:cs="Times New Roman"/>
          <w:lang w:eastAsia="pl-PL"/>
        </w:rPr>
        <w:t xml:space="preserve"> wymaga zgodnie z zapisami SWZ</w:t>
      </w:r>
      <w:r w:rsidRPr="00942C2D">
        <w:rPr>
          <w:rFonts w:ascii="Garamond" w:eastAsia="Times New Roman" w:hAnsi="Garamond" w:cs="Times New Roman"/>
          <w:lang w:eastAsia="pl-PL"/>
        </w:rPr>
        <w:t>.</w:t>
      </w:r>
    </w:p>
    <w:p w:rsidR="00B366A3" w:rsidRDefault="00B366A3" w:rsidP="000D31F6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76F99" w:rsidRDefault="00D76F99" w:rsidP="000D31F6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76F99" w:rsidRPr="00D76F99" w:rsidRDefault="00770B17" w:rsidP="00770B17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Dodatkowo </w:t>
      </w:r>
      <w:r w:rsidR="00D76F99" w:rsidRPr="00D76F99">
        <w:rPr>
          <w:rFonts w:ascii="Garamond" w:eastAsia="Times New Roman" w:hAnsi="Garamond" w:cs="Times New Roman"/>
          <w:lang w:eastAsia="pl-PL"/>
        </w:rPr>
        <w:t>Zamawiający informuje, iż zmianie ulega brzmienie §4 ust. 9 który przyjmuje następujące brzmienie:</w:t>
      </w:r>
    </w:p>
    <w:p w:rsidR="00D76F99" w:rsidRPr="00D76F99" w:rsidRDefault="00D76F99" w:rsidP="00D76F9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76F99" w:rsidRDefault="00D76F99" w:rsidP="00D76F9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„§4 ust. </w:t>
      </w:r>
      <w:r w:rsidRPr="00D76F99">
        <w:rPr>
          <w:rFonts w:ascii="Garamond" w:eastAsia="Times New Roman" w:hAnsi="Garamond" w:cs="Times New Roman"/>
          <w:lang w:eastAsia="pl-PL"/>
        </w:rPr>
        <w:t>9. Całkowita wartość dostaw w ramach niniejszej umo</w:t>
      </w:r>
      <w:r>
        <w:rPr>
          <w:rFonts w:ascii="Garamond" w:eastAsia="Times New Roman" w:hAnsi="Garamond" w:cs="Times New Roman"/>
          <w:lang w:eastAsia="pl-PL"/>
        </w:rPr>
        <w:t xml:space="preserve">wy stanowi wielkość szacunkową </w:t>
      </w:r>
      <w:r w:rsidRPr="00D76F99">
        <w:rPr>
          <w:rFonts w:ascii="Garamond" w:eastAsia="Times New Roman" w:hAnsi="Garamond" w:cs="Times New Roman"/>
          <w:lang w:eastAsia="pl-PL"/>
        </w:rPr>
        <w:t>i może ulec zmniejszeniu w zależności od zapotrzebowania Szpitala Uniwersyteckiego, jednak nie więcej niż o 90% wartości określonej w § 4 ust. 1 umowy (w zakresie części której dotyczy zmiana). Szpital Uniwersytecki zastrzega sobie możliwość zmiany ilości zamawianego produktu w zakresie ilości podanych w poszczególnych pozycjach danej części, pod warunkiem nieprzekroczenia łącznej wartości danej części. Zmiana w powyższym zakresie nie stanowi zmiany warunków Umowy wymagającej formy pisemnej w postaci aneksu”</w:t>
      </w:r>
    </w:p>
    <w:p w:rsidR="00770B17" w:rsidRDefault="00770B17" w:rsidP="00D76F9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770B17" w:rsidRDefault="00770B17" w:rsidP="00D76F9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p w:rsidR="00770B17" w:rsidRPr="00770B17" w:rsidRDefault="00770B17" w:rsidP="00770B17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lang w:eastAsia="pl-PL"/>
        </w:rPr>
      </w:pPr>
      <w:r w:rsidRPr="00770B17">
        <w:rPr>
          <w:rFonts w:ascii="Garamond" w:eastAsia="Times New Roman" w:hAnsi="Garamond" w:cs="Times New Roman"/>
          <w:bCs/>
          <w:lang w:eastAsia="pl-PL"/>
        </w:rPr>
        <w:t xml:space="preserve">W załączeniu przekazuję </w:t>
      </w:r>
      <w:r>
        <w:rPr>
          <w:rFonts w:ascii="Garamond" w:eastAsia="Times New Roman" w:hAnsi="Garamond" w:cs="Times New Roman"/>
          <w:bCs/>
          <w:lang w:eastAsia="pl-PL"/>
        </w:rPr>
        <w:t xml:space="preserve">arkusz cenowy (zał. nr 1a do SWZ), </w:t>
      </w:r>
      <w:r w:rsidRPr="00770B17">
        <w:rPr>
          <w:rFonts w:ascii="Garamond" w:eastAsia="Times New Roman" w:hAnsi="Garamond" w:cs="Times New Roman"/>
          <w:bCs/>
          <w:lang w:eastAsia="pl-PL"/>
        </w:rPr>
        <w:t>wzór umowy (zał. nr 3 do SWZ)</w:t>
      </w:r>
      <w:r>
        <w:rPr>
          <w:rFonts w:ascii="Garamond" w:eastAsia="Times New Roman" w:hAnsi="Garamond" w:cs="Times New Roman"/>
          <w:bCs/>
          <w:lang w:eastAsia="pl-PL"/>
        </w:rPr>
        <w:t xml:space="preserve">, </w:t>
      </w:r>
      <w:r w:rsidRPr="00770B17">
        <w:rPr>
          <w:rFonts w:ascii="Garamond" w:eastAsia="Times New Roman" w:hAnsi="Garamond" w:cs="Times New Roman"/>
          <w:bCs/>
          <w:lang w:eastAsia="pl-PL"/>
        </w:rPr>
        <w:t>uwzględniające powyżej udzielone odpowiedzi oraz wprowadzone zmiany.</w:t>
      </w:r>
    </w:p>
    <w:p w:rsidR="00770B17" w:rsidRPr="00942C2D" w:rsidRDefault="00770B17" w:rsidP="00D76F9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sectPr w:rsidR="00770B17" w:rsidRPr="00942C2D" w:rsidSect="00F5507E">
      <w:headerReference w:type="default" r:id="rId11"/>
      <w:footerReference w:type="default" r:id="rId12"/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A7" w:rsidRDefault="004B08A7" w:rsidP="00E22E7B">
      <w:pPr>
        <w:spacing w:after="0" w:line="240" w:lineRule="auto"/>
      </w:pPr>
      <w:r>
        <w:separator/>
      </w:r>
    </w:p>
  </w:endnote>
  <w:endnote w:type="continuationSeparator" w:id="0">
    <w:p w:rsidR="004B08A7" w:rsidRDefault="004B08A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A7" w:rsidRDefault="004B08A7" w:rsidP="00E22E7B">
      <w:pPr>
        <w:spacing w:after="0" w:line="240" w:lineRule="auto"/>
      </w:pPr>
      <w:r>
        <w:separator/>
      </w:r>
    </w:p>
  </w:footnote>
  <w:footnote w:type="continuationSeparator" w:id="0">
    <w:p w:rsidR="004B08A7" w:rsidRDefault="004B08A7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6906"/>
    <w:rsid w:val="00006FC4"/>
    <w:rsid w:val="000160FE"/>
    <w:rsid w:val="00020D85"/>
    <w:rsid w:val="0003360C"/>
    <w:rsid w:val="000456B6"/>
    <w:rsid w:val="00046AAB"/>
    <w:rsid w:val="0005276B"/>
    <w:rsid w:val="00056A8A"/>
    <w:rsid w:val="00071EB1"/>
    <w:rsid w:val="00073F20"/>
    <w:rsid w:val="00074020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565E"/>
    <w:rsid w:val="0018594C"/>
    <w:rsid w:val="00186736"/>
    <w:rsid w:val="00197F7E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52DC"/>
    <w:rsid w:val="003656FF"/>
    <w:rsid w:val="003714B9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14986"/>
    <w:rsid w:val="004239FA"/>
    <w:rsid w:val="00423A3B"/>
    <w:rsid w:val="004341D7"/>
    <w:rsid w:val="004368FF"/>
    <w:rsid w:val="004415EF"/>
    <w:rsid w:val="00443B98"/>
    <w:rsid w:val="00451107"/>
    <w:rsid w:val="00454A93"/>
    <w:rsid w:val="00456514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08A7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5B05"/>
    <w:rsid w:val="00526555"/>
    <w:rsid w:val="00530392"/>
    <w:rsid w:val="00536C05"/>
    <w:rsid w:val="00537CCD"/>
    <w:rsid w:val="0054674B"/>
    <w:rsid w:val="00546E51"/>
    <w:rsid w:val="00556EC9"/>
    <w:rsid w:val="00557F7F"/>
    <w:rsid w:val="005611A3"/>
    <w:rsid w:val="005648AF"/>
    <w:rsid w:val="00566763"/>
    <w:rsid w:val="005716B9"/>
    <w:rsid w:val="005761C7"/>
    <w:rsid w:val="00584A81"/>
    <w:rsid w:val="00587449"/>
    <w:rsid w:val="00596E26"/>
    <w:rsid w:val="00597B73"/>
    <w:rsid w:val="005A22C1"/>
    <w:rsid w:val="005A5647"/>
    <w:rsid w:val="005B4381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F7A"/>
    <w:rsid w:val="00656BE4"/>
    <w:rsid w:val="0065700D"/>
    <w:rsid w:val="00657975"/>
    <w:rsid w:val="006635BA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0B17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224E0"/>
    <w:rsid w:val="008231DF"/>
    <w:rsid w:val="00831349"/>
    <w:rsid w:val="008313C6"/>
    <w:rsid w:val="0083161C"/>
    <w:rsid w:val="00837A59"/>
    <w:rsid w:val="00841129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47F4"/>
    <w:rsid w:val="00883C13"/>
    <w:rsid w:val="00884C08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69BB"/>
    <w:rsid w:val="009E6EE7"/>
    <w:rsid w:val="009F4300"/>
    <w:rsid w:val="009F6B9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3637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1829"/>
    <w:rsid w:val="00B12300"/>
    <w:rsid w:val="00B2061E"/>
    <w:rsid w:val="00B22694"/>
    <w:rsid w:val="00B366A3"/>
    <w:rsid w:val="00B37E0E"/>
    <w:rsid w:val="00B40A5A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C2123"/>
    <w:rsid w:val="00BC422C"/>
    <w:rsid w:val="00BD3358"/>
    <w:rsid w:val="00BE0B8A"/>
    <w:rsid w:val="00BE386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54532"/>
    <w:rsid w:val="00C611D5"/>
    <w:rsid w:val="00C61809"/>
    <w:rsid w:val="00C65F50"/>
    <w:rsid w:val="00C66D6D"/>
    <w:rsid w:val="00C67CA9"/>
    <w:rsid w:val="00C75BCA"/>
    <w:rsid w:val="00C942AD"/>
    <w:rsid w:val="00CA01D3"/>
    <w:rsid w:val="00CA2445"/>
    <w:rsid w:val="00CA3C40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F03BC"/>
    <w:rsid w:val="00CF13B9"/>
    <w:rsid w:val="00CF4284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CF8"/>
    <w:rsid w:val="00D756DB"/>
    <w:rsid w:val="00D76E1F"/>
    <w:rsid w:val="00D76F99"/>
    <w:rsid w:val="00D77324"/>
    <w:rsid w:val="00D83D22"/>
    <w:rsid w:val="00D856BD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9F3"/>
    <w:rsid w:val="00DB5A02"/>
    <w:rsid w:val="00DC1985"/>
    <w:rsid w:val="00DC2E02"/>
    <w:rsid w:val="00DC3875"/>
    <w:rsid w:val="00DE3B2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B1F"/>
    <w:rsid w:val="00ED3CD7"/>
    <w:rsid w:val="00ED46EC"/>
    <w:rsid w:val="00ED5CC7"/>
    <w:rsid w:val="00EE09E4"/>
    <w:rsid w:val="00EE1EDD"/>
    <w:rsid w:val="00EE2A85"/>
    <w:rsid w:val="00EE3943"/>
    <w:rsid w:val="00EF2149"/>
    <w:rsid w:val="00EF239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47622"/>
    <w:rsid w:val="00F478CA"/>
    <w:rsid w:val="00F5445A"/>
    <w:rsid w:val="00F5507E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C064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E57C1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E0D91-20F3-4CFA-B173-C939B84C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7</cp:revision>
  <cp:lastPrinted>2022-03-02T10:04:00Z</cp:lastPrinted>
  <dcterms:created xsi:type="dcterms:W3CDTF">2022-04-07T06:48:00Z</dcterms:created>
  <dcterms:modified xsi:type="dcterms:W3CDTF">2022-04-08T10:42:00Z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