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029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68705F" w:rsidRPr="0068705F" w14:paraId="3F4C29A4" w14:textId="77777777" w:rsidTr="00573F62">
        <w:trPr>
          <w:trHeight w:val="14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</w:tr>
      <w:tr w:rsidR="0068705F" w:rsidRPr="0068705F" w14:paraId="1174D4F2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573F62" w:rsidRPr="0068705F" w:rsidRDefault="00573F62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390E2CBC" w:rsidR="00573F62" w:rsidRPr="0068705F" w:rsidRDefault="00586D3B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</w:t>
            </w:r>
            <w:r w:rsidR="00F25746">
              <w:rPr>
                <w:rFonts w:ascii="Calibri" w:eastAsia="Calibri" w:hAnsi="Calibri" w:cs="Times New Roman"/>
              </w:rPr>
              <w:t>5</w:t>
            </w:r>
            <w:r w:rsidR="00F72CE9">
              <w:rPr>
                <w:rFonts w:ascii="Calibri" w:eastAsia="Calibri" w:hAnsi="Calibri" w:cs="Times New Roman"/>
              </w:rPr>
              <w:t xml:space="preserve">,6 </w:t>
            </w:r>
            <w:r w:rsidR="00052768" w:rsidRPr="0068705F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5EE9A6AC" w:rsidR="00573F62" w:rsidRPr="0068705F" w:rsidRDefault="00696C6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  <w:tr w:rsidR="0068705F" w:rsidRPr="0068705F" w14:paraId="17F3C41E" w14:textId="77777777" w:rsidTr="00B42422">
        <w:trPr>
          <w:trHeight w:hRule="exact" w:val="6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7D00CE3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 xml:space="preserve">Monitor </w:t>
            </w:r>
            <w:r w:rsidR="005B7801">
              <w:rPr>
                <w:rFonts w:ascii="Calibri" w:eastAsia="Calibri" w:hAnsi="Calibri" w:cs="Times New Roman"/>
              </w:rPr>
              <w:t xml:space="preserve">23,8” - </w:t>
            </w:r>
            <w:r w:rsidRPr="0068705F">
              <w:rPr>
                <w:rFonts w:ascii="Calibri" w:eastAsia="Calibri" w:hAnsi="Calibri" w:cs="Times New Roman"/>
              </w:rPr>
              <w:t>2</w:t>
            </w:r>
            <w:r w:rsidR="00F25746">
              <w:rPr>
                <w:rFonts w:ascii="Calibri" w:eastAsia="Calibri" w:hAnsi="Calibri" w:cs="Times New Roman"/>
              </w:rPr>
              <w:t>4</w:t>
            </w:r>
            <w:r w:rsidRPr="0068705F">
              <w:rPr>
                <w:rFonts w:ascii="Calibri" w:eastAsia="Calibri" w:hAnsi="Calibri" w:cs="Times New Roman"/>
              </w:rPr>
              <w:t>”</w:t>
            </w:r>
            <w:r w:rsidR="00EC3A97">
              <w:rPr>
                <w:rFonts w:ascii="Calibri" w:eastAsia="Calibri" w:hAnsi="Calibri" w:cs="Times New Roman"/>
              </w:rPr>
              <w:t xml:space="preserve"> z funkcją stacji dokującej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12757CBE" w:rsidR="00055958" w:rsidRPr="0068705F" w:rsidRDefault="00696C6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  <w:tr w:rsidR="00D00D7D" w:rsidRPr="0068705F" w14:paraId="57E5151A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2F4" w14:textId="77777777" w:rsidR="00D00D7D" w:rsidRPr="0068705F" w:rsidRDefault="00D00D7D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409" w14:textId="380943E6" w:rsidR="00D00D7D" w:rsidRDefault="00D00D7D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Mysz</w:t>
            </w:r>
            <w:r w:rsidR="005B780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+</w:t>
            </w:r>
            <w:r w:rsidR="005B780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klawiatura</w:t>
            </w:r>
            <w:r w:rsidR="00727EE2">
              <w:rPr>
                <w:rFonts w:ascii="Calibri" w:eastAsia="Calibri" w:hAnsi="Calibri" w:cs="Times New Roman"/>
              </w:rPr>
              <w:t xml:space="preserve"> </w:t>
            </w:r>
            <w:r w:rsidR="00F25746">
              <w:rPr>
                <w:rFonts w:ascii="Calibri" w:eastAsia="Calibri" w:hAnsi="Calibri" w:cs="Times New Roman"/>
              </w:rPr>
              <w:t>bezprzewodowa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AE522" w14:textId="54CED384" w:rsidR="00D00D7D" w:rsidRDefault="00696C6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</w:tbl>
    <w:p w14:paraId="52C1045A" w14:textId="77777777" w:rsidR="0042705C" w:rsidRPr="0068705F" w:rsidRDefault="0042705C" w:rsidP="003565E2">
      <w:pPr>
        <w:spacing w:after="200" w:line="276" w:lineRule="auto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15C3096D" w14:textId="6237669A" w:rsidR="00172D4B" w:rsidRPr="0068705F" w:rsidRDefault="00172D4B" w:rsidP="00055958">
      <w:pPr>
        <w:pStyle w:val="Akapitzlist"/>
        <w:numPr>
          <w:ilvl w:val="0"/>
          <w:numId w:val="5"/>
        </w:numPr>
        <w:rPr>
          <w:rFonts w:eastAsia="Times New Roman"/>
        </w:rPr>
      </w:pPr>
      <w:r w:rsidRPr="0068705F">
        <w:rPr>
          <w:rFonts w:eastAsia="Times New Roman"/>
        </w:rPr>
        <w:lastRenderedPageBreak/>
        <w:t>Notebook</w:t>
      </w:r>
      <w:r w:rsidR="008824E3" w:rsidRPr="0068705F">
        <w:rPr>
          <w:rFonts w:eastAsia="Times New Roman"/>
        </w:rPr>
        <w:t xml:space="preserve"> 15</w:t>
      </w:r>
      <w:r w:rsidR="002C26C0">
        <w:rPr>
          <w:rFonts w:eastAsia="Times New Roman"/>
        </w:rPr>
        <w:t xml:space="preserve">,6 </w:t>
      </w:r>
      <w:r w:rsidR="00EE6AAF" w:rsidRPr="0068705F">
        <w:rPr>
          <w:rFonts w:eastAsia="Times New Roman"/>
        </w:rPr>
        <w:t>”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48"/>
        <w:gridCol w:w="6627"/>
      </w:tblGrid>
      <w:tr w:rsidR="0068705F" w:rsidRPr="00E248B2" w14:paraId="140461AB" w14:textId="77777777" w:rsidTr="00D671C4">
        <w:trPr>
          <w:trHeight w:val="629"/>
          <w:jc w:val="center"/>
        </w:trPr>
        <w:tc>
          <w:tcPr>
            <w:tcW w:w="459" w:type="pct"/>
            <w:vAlign w:val="center"/>
          </w:tcPr>
          <w:p w14:paraId="2589684C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372E6F4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0A12F317" w14:textId="77777777" w:rsidR="0068705F" w:rsidRPr="00E248B2" w:rsidRDefault="0068705F" w:rsidP="00D671C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68705F" w:rsidRPr="00E248B2" w14:paraId="613D81A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723AC53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E969F66" w14:textId="77777777" w:rsidR="0068705F" w:rsidRPr="00E248B2" w:rsidRDefault="0068705F" w:rsidP="00D671C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736E158C" w14:textId="598C3B3D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202</w:t>
            </w:r>
            <w:r w:rsidR="00A5651A">
              <w:rPr>
                <w:rFonts w:ascii="Calibri" w:eastAsia="Times New Roman" w:hAnsi="Calibri" w:cs="Times New Roman"/>
              </w:rPr>
              <w:t>4</w:t>
            </w:r>
            <w:r w:rsidRPr="00E248B2">
              <w:rPr>
                <w:rFonts w:ascii="Calibri" w:eastAsia="Times New Roman" w:hAnsi="Calibri" w:cs="Times New Roman"/>
              </w:rPr>
              <w:t>) komputer przenośny typu notebook z matowym lub antyrefleksyjnym ekranem o rozdzielczości nie mniejszej niż 1920 x 1080 w technologii LED</w:t>
            </w:r>
          </w:p>
        </w:tc>
      </w:tr>
      <w:tr w:rsidR="0068705F" w:rsidRPr="00E248B2" w14:paraId="3D8F561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FA5111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A8D2BCB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24D5EA6E" w14:textId="45B282E4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 w:rsidR="00E5324E">
              <w:rPr>
                <w:rFonts w:ascii="Calibri" w:eastAsia="Times New Roman" w:hAnsi="Calibri" w:cs="Times New Roman"/>
                <w:bCs/>
                <w:color w:val="FF0000"/>
              </w:rPr>
              <w:t>14 500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</w:t>
            </w:r>
            <w:proofErr w:type="spellStart"/>
            <w:r w:rsidRPr="00E248B2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E248B2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 </w:t>
            </w:r>
            <w:r w:rsidR="002A7049">
              <w:rPr>
                <w:rFonts w:ascii="Calibri" w:eastAsia="Times New Roman" w:hAnsi="Calibri" w:cs="Times New Roman"/>
              </w:rPr>
              <w:t>7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</w:tr>
      <w:tr w:rsidR="0068705F" w:rsidRPr="00E248B2" w14:paraId="0E5B1E9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EE6081F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9D25259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34ADE5F1" w14:textId="4D1E3BFF" w:rsidR="0068705F" w:rsidRPr="00E248B2" w:rsidRDefault="00A5651A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E6148D">
              <w:rPr>
                <w:rFonts w:ascii="Calibri" w:eastAsia="Times New Roman" w:hAnsi="Calibri" w:cs="Times New Roman"/>
              </w:rPr>
              <w:t>5</w:t>
            </w:r>
            <w:r w:rsidR="002C26C0">
              <w:rPr>
                <w:rFonts w:ascii="Calibri" w:eastAsia="Times New Roman" w:hAnsi="Calibri" w:cs="Times New Roman"/>
              </w:rPr>
              <w:t xml:space="preserve">,6 </w:t>
            </w:r>
            <w:r w:rsidR="0068705F" w:rsidRPr="00E248B2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68705F" w:rsidRPr="00E248B2" w14:paraId="40324F00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8B0C6F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0CCE7B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1FE21AFE" w14:textId="5F66663C" w:rsidR="0068705F" w:rsidRPr="00E248B2" w:rsidRDefault="0068705F" w:rsidP="00D671C4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A5651A">
              <w:rPr>
                <w:rFonts w:ascii="Calibri" w:eastAsia="Times New Roman" w:hAnsi="Calibri" w:cs="Times New Roman"/>
              </w:rPr>
              <w:t>16</w:t>
            </w:r>
            <w:r w:rsidRPr="00E248B2">
              <w:rPr>
                <w:rFonts w:ascii="Calibri" w:eastAsia="Times New Roman" w:hAnsi="Calibri" w:cs="Times New Roman"/>
              </w:rPr>
              <w:t xml:space="preserve"> GB</w:t>
            </w:r>
          </w:p>
        </w:tc>
      </w:tr>
      <w:tr w:rsidR="0068705F" w:rsidRPr="00E248B2" w14:paraId="0EADF3CD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50D8CD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3E0E5C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75DBDCAE" w14:textId="60BD76CE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A5651A">
              <w:rPr>
                <w:rFonts w:ascii="Calibri" w:eastAsia="Times New Roman" w:hAnsi="Calibri" w:cs="Times New Roman"/>
              </w:rPr>
              <w:t>512</w:t>
            </w:r>
            <w:r w:rsidRPr="00E248B2">
              <w:rPr>
                <w:rFonts w:ascii="Calibri" w:eastAsia="Times New Roman" w:hAnsi="Calibri" w:cs="Times New Roman"/>
              </w:rPr>
              <w:t xml:space="preserve"> GB SSD</w:t>
            </w:r>
          </w:p>
        </w:tc>
      </w:tr>
      <w:tr w:rsidR="0068705F" w:rsidRPr="00E248B2" w14:paraId="15B42DB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26ECB3A" w14:textId="77777777" w:rsidR="0068705F" w:rsidRPr="00FC7114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F773C0D" w14:textId="77777777" w:rsidR="0068705F" w:rsidRPr="00FC7114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0C47793F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2D03140B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6A24BFA3" w14:textId="06511B8A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8705F"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1ED8C1A9" w14:textId="1CFC4D6F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proofErr w:type="spellStart"/>
            <w:r w:rsidR="0068705F" w:rsidRPr="00FC7114">
              <w:rPr>
                <w:rFonts w:ascii="Calibri" w:eastAsia="Times New Roman" w:hAnsi="Calibri" w:cs="Times New Roman"/>
              </w:rPr>
              <w:t>port</w:t>
            </w:r>
            <w:proofErr w:type="spellEnd"/>
            <w:r w:rsidR="0068705F" w:rsidRPr="00FC7114">
              <w:rPr>
                <w:rFonts w:ascii="Calibri" w:eastAsia="Times New Roman" w:hAnsi="Calibri" w:cs="Times New Roman"/>
              </w:rPr>
              <w:t xml:space="preserve"> HDMI</w:t>
            </w:r>
          </w:p>
          <w:p w14:paraId="7C8A2404" w14:textId="71894697" w:rsidR="0068705F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="0068705F" w:rsidRPr="00FC7114">
              <w:rPr>
                <w:rFonts w:ascii="Calibri" w:eastAsia="Times New Roman" w:hAnsi="Calibri" w:cs="Times New Roman"/>
              </w:rPr>
              <w:t>RJ-45</w:t>
            </w:r>
          </w:p>
          <w:p w14:paraId="5A94B36C" w14:textId="1342CB7A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</w:t>
            </w:r>
          </w:p>
        </w:tc>
      </w:tr>
      <w:tr w:rsidR="0068705F" w:rsidRPr="00E248B2" w14:paraId="5F7A3955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C4BC75D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22BFF7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2CF57445" w14:textId="230A5902" w:rsidR="0068705F" w:rsidRPr="00E248B2" w:rsidRDefault="00D77C18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D77C18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D77C18">
              <w:rPr>
                <w:rFonts w:ascii="Calibri" w:eastAsia="Times New Roman" w:hAnsi="Calibri" w:cs="Times New Roman"/>
                <w:lang w:val="en-US"/>
              </w:rPr>
              <w:t xml:space="preserve"> IEEE 802.11, Bluetooth</w:t>
            </w:r>
          </w:p>
        </w:tc>
      </w:tr>
      <w:tr w:rsidR="0068705F" w:rsidRPr="00E248B2" w14:paraId="152A4043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EF6498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79704743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636AD996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zintegrowana 10/100/1000 wspierająca PXE</w:t>
            </w:r>
          </w:p>
        </w:tc>
      </w:tr>
      <w:tr w:rsidR="0068705F" w:rsidRPr="00E248B2" w14:paraId="19637ED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0F00BF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08542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2E91504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17C2AF0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-wbudowane głośniki,</w:t>
            </w:r>
          </w:p>
          <w:p w14:paraId="22C09E1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 wbudowana kamera, </w:t>
            </w:r>
          </w:p>
          <w:p w14:paraId="527CD0C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68705F" w:rsidRPr="00E248B2" w14:paraId="130A3E8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9062905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C6064A8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08E23B54" w14:textId="77777777" w:rsidR="00593EB5" w:rsidRDefault="0068705F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Klawiatura</w:t>
            </w:r>
          </w:p>
          <w:p w14:paraId="29007EB9" w14:textId="76F27433" w:rsidR="0068705F" w:rsidRPr="00E248B2" w:rsidRDefault="0057215D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T</w:t>
            </w:r>
            <w:r w:rsidR="0068705F" w:rsidRPr="00E248B2">
              <w:rPr>
                <w:rFonts w:ascii="Calibri" w:eastAsia="Times New Roman" w:hAnsi="Calibri" w:cs="Times New Roman"/>
              </w:rPr>
              <w:t>ouchpad</w:t>
            </w:r>
            <w:proofErr w:type="spellEnd"/>
            <w:r w:rsidR="0068705F" w:rsidRPr="00E248B2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="0068705F" w:rsidRPr="00E248B2">
              <w:rPr>
                <w:rFonts w:ascii="Calibri" w:eastAsia="Times New Roman" w:hAnsi="Calibri" w:cs="Times New Roman"/>
              </w:rPr>
              <w:t>clickpad</w:t>
            </w:r>
            <w:proofErr w:type="spellEnd"/>
            <w:r w:rsidR="0068705F" w:rsidRPr="00E248B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377D5" w:rsidRPr="00E248B2" w14:paraId="18734E91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4B5093B" w14:textId="77777777" w:rsidR="006377D5" w:rsidRPr="00E248B2" w:rsidRDefault="006377D5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02FEAD0" w14:textId="65D789EA" w:rsidR="006377D5" w:rsidRPr="00E248B2" w:rsidRDefault="006377D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Wymagania dodatkowe dla notebooka </w:t>
            </w:r>
          </w:p>
        </w:tc>
        <w:tc>
          <w:tcPr>
            <w:tcW w:w="3593" w:type="pct"/>
            <w:vAlign w:val="center"/>
          </w:tcPr>
          <w:p w14:paraId="44957BAD" w14:textId="77777777" w:rsidR="006377D5" w:rsidRDefault="006377D5" w:rsidP="006377D5">
            <w:pPr>
              <w:pStyle w:val="Bezodstpw"/>
            </w:pPr>
            <w:r>
              <w:t xml:space="preserve">- modułu TPM w wersji. 2.0 </w:t>
            </w:r>
          </w:p>
          <w:p w14:paraId="35B67EC1" w14:textId="77777777" w:rsidR="006377D5" w:rsidRDefault="006377D5" w:rsidP="006377D5">
            <w:pPr>
              <w:pStyle w:val="Bezodstpw"/>
            </w:pPr>
            <w:r>
              <w:t xml:space="preserve">- oprogramowania układowe systemu UEFI  z obsługą bezpiecznego rozruchu. </w:t>
            </w:r>
          </w:p>
          <w:p w14:paraId="494FE0E3" w14:textId="10C3ECCC" w:rsidR="006377D5" w:rsidRPr="006377D5" w:rsidRDefault="006377D5" w:rsidP="006377D5">
            <w:pPr>
              <w:pStyle w:val="Bezodstpw"/>
            </w:pPr>
            <w:r>
              <w:t xml:space="preserve">- karta graficzna zgodna z biblioteką Direct 12 lub nowszą ze sterownikiem WDDM 2.0 </w:t>
            </w:r>
          </w:p>
        </w:tc>
      </w:tr>
      <w:tr w:rsidR="0068705F" w:rsidRPr="00E248B2" w14:paraId="3C87209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B0D60D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B47E60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03AA45F2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 xml:space="preserve">System 64-bitowy </w:t>
            </w:r>
            <w:r>
              <w:rPr>
                <w:rFonts w:ascii="Calibri" w:eastAsia="Times New Roman" w:hAnsi="Calibri" w:cs="Times New Roman"/>
              </w:rPr>
              <w:t xml:space="preserve">w polskiej wersji językowej, w najnowszej dostępnej wersji na rynku. </w:t>
            </w:r>
            <w:r w:rsidRPr="00E14225">
              <w:rPr>
                <w:rFonts w:ascii="Calibri" w:eastAsia="Times New Roman" w:hAnsi="Calibri" w:cs="Times New Roman"/>
              </w:rPr>
              <w:t>System operacyjny powinien zapewnić kompatybilność z używanym przez Zamawiającego środowiskiem i aplikacjami.</w:t>
            </w:r>
          </w:p>
          <w:p w14:paraId="364A10C8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5272A784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pełna integracja z domeną Windows opartą na serwerach Windows 2022 w zakresie autoryzacji w środowisku Zamawiającego;</w:t>
            </w:r>
          </w:p>
          <w:p w14:paraId="13914B26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47FC9C43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41039DAB" w14:textId="77777777" w:rsidR="00A572D3" w:rsidRPr="00E14225" w:rsidRDefault="00A572D3" w:rsidP="00A572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B60E8">
              <w:rPr>
                <w:rFonts w:ascii="Calibri" w:eastAsia="Times New Roman" w:hAnsi="Calibri" w:cs="Times New Roman"/>
              </w:rPr>
              <w:t>Licencja ta powinna być potwierdzona etykietą potwierdzającą legalność systemu operacyjnego.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B60E8">
              <w:rPr>
                <w:rFonts w:ascii="Calibri" w:eastAsia="Times New Roman" w:hAnsi="Calibri" w:cs="Times New Roman"/>
              </w:rPr>
              <w:t>Etykieta ma być umieszczona w sposób trwały na obudowie każdego egzemplarza komputera.</w:t>
            </w:r>
          </w:p>
          <w:p w14:paraId="519E2F3D" w14:textId="42C46F1B" w:rsidR="00E24B26" w:rsidRPr="00E248B2" w:rsidRDefault="00A572D3" w:rsidP="00A572D3">
            <w:pPr>
              <w:rPr>
                <w:rFonts w:ascii="Calibri" w:eastAsia="Times New Roman" w:hAnsi="Calibri" w:cs="Times New Roman"/>
              </w:rPr>
            </w:pPr>
            <w:r w:rsidRPr="00E14225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wymagający aktywacji przez użytkownika.  </w:t>
            </w:r>
            <w:r>
              <w:rPr>
                <w:rFonts w:ascii="Calibri" w:eastAsia="Times New Roman" w:hAnsi="Calibri" w:cs="Times New Roman"/>
              </w:rPr>
              <w:t xml:space="preserve">Wymagane jest aby klucz produktu był na stałe zapisany w BIOS-ie komputera, zapewniając poprawną aktywację systemu operacyjnego po </w:t>
            </w:r>
            <w:proofErr w:type="spellStart"/>
            <w:r>
              <w:rPr>
                <w:rFonts w:ascii="Calibri" w:eastAsia="Times New Roman" w:hAnsi="Calibri" w:cs="Times New Roman"/>
              </w:rPr>
              <w:t>reinstalacji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bez konieczności ręcznego wpisywania klucza produktu.</w:t>
            </w:r>
          </w:p>
        </w:tc>
      </w:tr>
      <w:tr w:rsidR="0068705F" w:rsidRPr="00F12ED9" w14:paraId="651F2C7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E3C6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EF21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AC7" w14:textId="77777777" w:rsidR="0068705F" w:rsidRPr="00F12ED9" w:rsidRDefault="0068705F" w:rsidP="00D671C4">
            <w:pPr>
              <w:spacing w:afterLines="20" w:after="48" w:line="240" w:lineRule="auto"/>
              <w:contextualSpacing/>
            </w:pPr>
            <w:r w:rsidRPr="00F12ED9">
              <w:t xml:space="preserve">Torba przeznaczona do oferowanego notebooka musi posiadać wydzieloną wyściełaną kieszeń ochronną na notebooka, kieszeń na akcesoria. </w:t>
            </w:r>
          </w:p>
        </w:tc>
      </w:tr>
      <w:tr w:rsidR="0068705F" w:rsidRPr="00F12ED9" w14:paraId="7FAE38A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1CC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AF5C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2480" w14:textId="5067270A" w:rsidR="0068705F" w:rsidRPr="00F12ED9" w:rsidRDefault="0059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593EB5">
              <w:rPr>
                <w:rFonts w:ascii="Calibri" w:eastAsia="Times New Roman" w:hAnsi="Calibri" w:cs="Times New Roman"/>
              </w:rPr>
              <w:t>Min. 24- miesiące gwarancji .O</w:t>
            </w:r>
            <w:r w:rsidRPr="00593EB5">
              <w:rPr>
                <w:rFonts w:ascii="Calibri" w:eastAsia="Times New Roman" w:hAnsi="Calibri" w:cs="Times New Roman"/>
                <w:bCs/>
              </w:rPr>
              <w:t xml:space="preserve">bsługa serwisowa realizowana przez Wykonawcę lub Autoryzowany serwis producenta </w:t>
            </w:r>
            <w:r w:rsidRPr="00593EB5">
              <w:rPr>
                <w:rFonts w:ascii="Calibri" w:eastAsia="Times New Roman" w:hAnsi="Calibri" w:cs="Times New Roman"/>
              </w:rPr>
              <w:t>świadczona na miejscu u klienta, z czasem reakcji serwisu do końca następnego dnia roboczego. W przypadku awarii dysków twardych dysk pozostaje u Zamawiającego.</w:t>
            </w:r>
          </w:p>
        </w:tc>
      </w:tr>
    </w:tbl>
    <w:p w14:paraId="764D478D" w14:textId="77777777" w:rsidR="00172D4B" w:rsidRPr="0081211B" w:rsidRDefault="00172D4B" w:rsidP="00172D4B">
      <w:pPr>
        <w:spacing w:after="0" w:line="240" w:lineRule="auto"/>
        <w:rPr>
          <w:rFonts w:ascii="Calibri" w:eastAsia="Times New Roman" w:hAnsi="Calibri" w:cs="Times New Roman"/>
        </w:rPr>
      </w:pPr>
    </w:p>
    <w:p w14:paraId="11257833" w14:textId="5357BA92" w:rsidR="00174A32" w:rsidRDefault="00174A32">
      <w:pPr>
        <w:spacing w:line="259" w:lineRule="auto"/>
      </w:pPr>
      <w:r>
        <w:br w:type="page"/>
      </w:r>
    </w:p>
    <w:p w14:paraId="679D59C3" w14:textId="77777777" w:rsidR="008824E3" w:rsidRPr="0081211B" w:rsidRDefault="008824E3" w:rsidP="00172D4B"/>
    <w:p w14:paraId="231AF622" w14:textId="336C6768" w:rsidR="00055958" w:rsidRPr="00C01195" w:rsidRDefault="00055958" w:rsidP="00055958">
      <w:pPr>
        <w:pStyle w:val="Akapitzlist"/>
        <w:numPr>
          <w:ilvl w:val="0"/>
          <w:numId w:val="5"/>
        </w:numPr>
      </w:pPr>
      <w:r w:rsidRPr="00C01195">
        <w:t>Monitor</w:t>
      </w:r>
      <w:r w:rsidR="00D86B5D" w:rsidRPr="00C01195">
        <w:t xml:space="preserve"> </w:t>
      </w:r>
      <w:r w:rsidR="005B7801">
        <w:t xml:space="preserve">23,8” - </w:t>
      </w:r>
      <w:r w:rsidR="00D86B5D" w:rsidRPr="00C01195">
        <w:t>2</w:t>
      </w:r>
      <w:r w:rsidR="00A07EF0">
        <w:t>4</w:t>
      </w:r>
      <w:r w:rsidR="00D86B5D" w:rsidRPr="00C01195">
        <w:t>”</w:t>
      </w:r>
      <w:r w:rsidR="007145C4">
        <w:t xml:space="preserve"> z funkcją stacji dokującej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6656"/>
      </w:tblGrid>
      <w:tr w:rsidR="00DD3EB5" w:rsidRPr="00E248B2" w14:paraId="2BA33827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2C1" w14:textId="77777777" w:rsidR="00DD3EB5" w:rsidRPr="00631F1A" w:rsidRDefault="00DD3EB5" w:rsidP="00D671C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BD5" w14:textId="77777777" w:rsidR="00DD3EB5" w:rsidRPr="00631F1A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3A6" w14:textId="77777777" w:rsidR="00DD3EB5" w:rsidRPr="00631F1A" w:rsidRDefault="00DD3EB5" w:rsidP="00D671C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D3EB5" w:rsidRPr="00E248B2" w14:paraId="39B48EA1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9A2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10C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0FE" w14:textId="5A903192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Przekątna ekranu (obszar widzialny): </w:t>
            </w:r>
            <w:r w:rsidR="002E2AC8">
              <w:rPr>
                <w:rFonts w:ascii="Calibri" w:eastAsia="Times New Roman" w:hAnsi="Calibri" w:cs="Times New Roman"/>
                <w:bCs/>
              </w:rPr>
              <w:t xml:space="preserve">23,8 ‘’ -  </w:t>
            </w:r>
            <w:r w:rsidRPr="00247B95">
              <w:rPr>
                <w:rFonts w:ascii="Calibri" w:eastAsia="Times New Roman" w:hAnsi="Calibri" w:cs="Times New Roman"/>
                <w:bCs/>
              </w:rPr>
              <w:t>2</w:t>
            </w:r>
            <w:r w:rsidR="00A07EF0">
              <w:rPr>
                <w:rFonts w:ascii="Calibri" w:eastAsia="Times New Roman" w:hAnsi="Calibri" w:cs="Times New Roman"/>
                <w:bCs/>
              </w:rPr>
              <w:t>4</w:t>
            </w:r>
            <w:r w:rsidR="0009393C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2E2AC8">
              <w:rPr>
                <w:rFonts w:ascii="Calibri" w:eastAsia="Times New Roman" w:hAnsi="Calibri" w:cs="Times New Roman"/>
                <w:bCs/>
              </w:rPr>
              <w:t>‘’</w:t>
            </w:r>
          </w:p>
          <w:p w14:paraId="038D6CA1" w14:textId="77777777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638D137C" w14:textId="48D1D09E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Rozdzielczość nominalna: </w:t>
            </w:r>
            <w:r w:rsidR="00A34BB3">
              <w:rPr>
                <w:rFonts w:ascii="Calibri" w:eastAsia="Times New Roman" w:hAnsi="Calibri" w:cs="Times New Roman"/>
                <w:bCs/>
              </w:rPr>
              <w:t>1920 x 1080 (Full HD)</w:t>
            </w:r>
          </w:p>
          <w:p w14:paraId="36316253" w14:textId="77777777" w:rsidR="00DD3EB5" w:rsidRPr="00247B9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1F95E1AC" w14:textId="77777777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6B517085" w14:textId="03A5E6CD" w:rsidR="007145C4" w:rsidRDefault="007145C4" w:rsidP="007145C4">
            <w:pPr>
              <w:pStyle w:val="Akapitzlist"/>
              <w:numPr>
                <w:ilvl w:val="0"/>
                <w:numId w:val="2"/>
              </w:numPr>
              <w:spacing w:afterLines="20" w:after="48" w:line="240" w:lineRule="auto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</w:t>
            </w:r>
            <w:r>
              <w:rPr>
                <w:rFonts w:eastAsia="Times New Roman"/>
              </w:rPr>
              <w:t>y</w:t>
            </w:r>
            <w:r w:rsidRPr="007C4D48">
              <w:rPr>
                <w:rFonts w:eastAsia="Times New Roman"/>
              </w:rPr>
              <w:t xml:space="preserve"> do współpracy z oferowanym notebookiem 1</w:t>
            </w:r>
            <w:r w:rsidR="00E35741">
              <w:rPr>
                <w:rFonts w:eastAsia="Times New Roman"/>
              </w:rPr>
              <w:t xml:space="preserve">5,6 </w:t>
            </w:r>
            <w:r w:rsidRPr="007C4D48">
              <w:rPr>
                <w:rFonts w:eastAsia="Times New Roman"/>
              </w:rPr>
              <w:t>”</w:t>
            </w:r>
            <w:r>
              <w:rPr>
                <w:rFonts w:eastAsia="Times New Roman"/>
              </w:rPr>
              <w:t xml:space="preserve"> zapewniający połączenie z urządzeniem za pomocą przewodu ze złączem USB-C umożliwiającym ładowanie notebooka w czasie pracy. </w:t>
            </w:r>
          </w:p>
          <w:p w14:paraId="695534F2" w14:textId="5DC4A763" w:rsidR="007145C4" w:rsidRPr="007145C4" w:rsidRDefault="007145C4" w:rsidP="007145C4">
            <w:pPr>
              <w:pStyle w:val="Akapitzlist"/>
              <w:numPr>
                <w:ilvl w:val="0"/>
                <w:numId w:val="2"/>
              </w:numPr>
              <w:spacing w:afterLines="20" w:after="48" w:line="240" w:lineRule="auto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7BF413D1" w14:textId="70A9D331" w:rsidR="007145C4" w:rsidRPr="007145C4" w:rsidRDefault="007145C4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7C4D48">
              <w:rPr>
                <w:rFonts w:eastAsia="Times New Roman"/>
              </w:rPr>
              <w:t>Port LAN 10/100/1000</w:t>
            </w:r>
          </w:p>
          <w:p w14:paraId="53FF3CF4" w14:textId="12421CC3" w:rsidR="00DD3EB5" w:rsidRPr="00887AE0" w:rsidRDefault="00DD3EB5" w:rsidP="00887AE0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887AE0">
              <w:rPr>
                <w:rFonts w:ascii="Calibri" w:eastAsia="Times New Roman" w:hAnsi="Calibri" w:cs="Times New Roman"/>
                <w:bCs/>
              </w:rPr>
              <w:t>Minimum 1 port HDMI</w:t>
            </w:r>
            <w:r w:rsidR="00887AE0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5B7801">
              <w:rPr>
                <w:rFonts w:ascii="Calibri" w:eastAsia="Times New Roman" w:hAnsi="Calibri" w:cs="Times New Roman"/>
                <w:bCs/>
              </w:rPr>
              <w:t>(wejście sygnału)</w:t>
            </w:r>
          </w:p>
          <w:p w14:paraId="01D242B2" w14:textId="7DA554B9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Minimum 1 port </w:t>
            </w:r>
            <w:proofErr w:type="spellStart"/>
            <w:r w:rsidRPr="00247B95">
              <w:rPr>
                <w:rFonts w:ascii="Calibri" w:eastAsia="Times New Roman" w:hAnsi="Calibri" w:cs="Times New Roman"/>
                <w:bCs/>
              </w:rPr>
              <w:t>DisplayPort</w:t>
            </w:r>
            <w:proofErr w:type="spellEnd"/>
            <w:r w:rsidR="00887AE0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5B7801">
              <w:rPr>
                <w:rFonts w:ascii="Calibri" w:eastAsia="Times New Roman" w:hAnsi="Calibri" w:cs="Times New Roman"/>
                <w:bCs/>
              </w:rPr>
              <w:t>(wejście sygnału)</w:t>
            </w:r>
          </w:p>
          <w:p w14:paraId="67F9C267" w14:textId="0D1B8350" w:rsidR="005B7801" w:rsidRDefault="005B7801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Minimum 1 port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DisplayPort</w:t>
            </w:r>
            <w:proofErr w:type="spellEnd"/>
            <w:r>
              <w:rPr>
                <w:rFonts w:ascii="Calibri" w:eastAsia="Times New Roman" w:hAnsi="Calibri" w:cs="Times New Roman"/>
                <w:bCs/>
              </w:rPr>
              <w:t xml:space="preserve"> (wyjście sygnału, do możliwości podłączenia drugiego monitora)</w:t>
            </w:r>
          </w:p>
          <w:p w14:paraId="376E1441" w14:textId="65A0D88F" w:rsidR="007145C4" w:rsidRPr="00247B95" w:rsidRDefault="007145C4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eastAsia="Times New Roman"/>
              </w:rPr>
              <w:t>Musi pozwalać na działanie w taki sposób, aby po zamknięciu pokrywy laptopa ekran był automatycznie odłączany, bez konieczności zmian w systemie. Po podniesieniu pokrywy laptopa ekran musi być automatycznie włączany, bez konieczności zmian w systemie.</w:t>
            </w:r>
          </w:p>
          <w:p w14:paraId="36B17166" w14:textId="77777777" w:rsidR="00DD3EB5" w:rsidRDefault="00DD3EB5" w:rsidP="007145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  <w:p w14:paraId="79590294" w14:textId="2532A051" w:rsidR="00E73D81" w:rsidRDefault="00DB4B2B" w:rsidP="00E73D81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Wbudowane głośniki</w:t>
            </w:r>
            <w:r w:rsidR="00A9792F">
              <w:rPr>
                <w:rFonts w:ascii="Calibri" w:eastAsia="Times New Roman" w:hAnsi="Calibri" w:cs="Times New Roman"/>
                <w:bCs/>
              </w:rPr>
              <w:t xml:space="preserve"> lub dedykowana listwa dźwiękowa zaprojektowana przez producenta monitora montowana na dolnej krawędzi monitora. </w:t>
            </w:r>
            <w:r w:rsidR="00A9792F" w:rsidRPr="00A9792F">
              <w:rPr>
                <w:rFonts w:ascii="Calibri" w:eastAsia="Times New Roman" w:hAnsi="Calibri" w:cs="Times New Roman"/>
                <w:bCs/>
              </w:rPr>
              <w:t>Listwa dźwiękowa nie może zawierać dodatkowego zasilacza oraz baterii. Zasilanie listwy dźwiękowej powinno odbywać się poprzez połączenie USB z monitorem</w:t>
            </w:r>
            <w:r w:rsidR="00A9792F">
              <w:rPr>
                <w:rFonts w:ascii="Calibri" w:eastAsia="Times New Roman" w:hAnsi="Calibri" w:cs="Times New Roman"/>
                <w:bCs/>
              </w:rPr>
              <w:t>.</w:t>
            </w:r>
          </w:p>
          <w:p w14:paraId="5998EC32" w14:textId="724FC425" w:rsidR="00A9792F" w:rsidRDefault="00A9792F" w:rsidP="00E73D81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 zestawie muszą być dostarczone komplet przewód umożliwiający podłączenie: zasilający,( USB-C do USB-C ), DP lub HDMI</w:t>
            </w:r>
          </w:p>
          <w:p w14:paraId="182F09B6" w14:textId="77777777" w:rsidR="00A9792F" w:rsidRPr="00A7534B" w:rsidRDefault="00A9792F" w:rsidP="00A9792F">
            <w:pPr>
              <w:spacing w:afterLines="20" w:after="48" w:line="240" w:lineRule="auto"/>
              <w:ind w:left="360"/>
              <w:contextualSpacing/>
              <w:rPr>
                <w:rFonts w:ascii="Calibri" w:eastAsia="Times New Roman" w:hAnsi="Calibri" w:cs="Times New Roman"/>
                <w:bCs/>
              </w:rPr>
            </w:pPr>
          </w:p>
          <w:p w14:paraId="7A556946" w14:textId="70E76D4C" w:rsidR="00E73D81" w:rsidRPr="007145C4" w:rsidRDefault="00E73D81" w:rsidP="00E73D81">
            <w:p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DD3EB5" w:rsidRPr="00E248B2" w14:paraId="4D8C21E3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C21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F6F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8F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AF7481F" w14:textId="199B452F" w:rsidR="00055958" w:rsidRDefault="00055958" w:rsidP="00055958">
      <w:pPr>
        <w:pStyle w:val="Akapitzlist"/>
        <w:rPr>
          <w:color w:val="FF0000"/>
        </w:rPr>
      </w:pPr>
    </w:p>
    <w:p w14:paraId="74B9D1A5" w14:textId="17ACA247" w:rsidR="00DD3EB5" w:rsidRDefault="00DD3EB5" w:rsidP="00055958">
      <w:pPr>
        <w:pStyle w:val="Akapitzlist"/>
        <w:rPr>
          <w:color w:val="FF0000"/>
        </w:rPr>
      </w:pPr>
    </w:p>
    <w:p w14:paraId="270F0031" w14:textId="32D6DDFD" w:rsidR="003D4E1E" w:rsidRPr="00E73D81" w:rsidRDefault="00174A32" w:rsidP="00E73D81">
      <w:pPr>
        <w:spacing w:line="259" w:lineRule="auto"/>
        <w:rPr>
          <w:rFonts w:ascii="Calibri" w:eastAsia="Calibri" w:hAnsi="Calibri" w:cs="Times New Roman"/>
          <w:color w:val="FF0000"/>
        </w:rPr>
      </w:pPr>
      <w:r>
        <w:rPr>
          <w:color w:val="FF0000"/>
        </w:rPr>
        <w:br w:type="page"/>
      </w:r>
    </w:p>
    <w:p w14:paraId="3FE872E4" w14:textId="538C6F0A" w:rsidR="00D00D7D" w:rsidRDefault="00D00D7D" w:rsidP="003D4E1E">
      <w:pPr>
        <w:pStyle w:val="Akapitzlist"/>
        <w:ind w:left="644"/>
        <w:rPr>
          <w:color w:val="FF0000"/>
        </w:rPr>
      </w:pPr>
    </w:p>
    <w:p w14:paraId="4D8CC725" w14:textId="2CC0C197" w:rsidR="00D00D7D" w:rsidRDefault="00D00D7D" w:rsidP="003D4E1E">
      <w:pPr>
        <w:pStyle w:val="Akapitzlist"/>
        <w:ind w:left="644"/>
        <w:rPr>
          <w:color w:val="FF0000"/>
        </w:rPr>
      </w:pPr>
    </w:p>
    <w:p w14:paraId="2A85AA26" w14:textId="77777777" w:rsidR="00D00D7D" w:rsidRPr="00E248B2" w:rsidRDefault="00D00D7D" w:rsidP="00D00D7D">
      <w:pPr>
        <w:pStyle w:val="Akapitzlist"/>
        <w:rPr>
          <w:color w:val="FF0000"/>
        </w:rPr>
      </w:pPr>
    </w:p>
    <w:p w14:paraId="64DD4BD8" w14:textId="030FB721" w:rsidR="00D00D7D" w:rsidRPr="00247B95" w:rsidRDefault="00E73D81" w:rsidP="00D00D7D">
      <w:pPr>
        <w:pStyle w:val="Akapitzlist"/>
        <w:ind w:left="360"/>
      </w:pPr>
      <w:r>
        <w:t>3</w:t>
      </w:r>
      <w:r w:rsidR="00D00D7D">
        <w:t>.</w:t>
      </w:r>
      <w:r w:rsidR="00D00D7D" w:rsidRPr="00247B95">
        <w:t>Mysz+klawiatura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703"/>
        <w:gridCol w:w="6662"/>
      </w:tblGrid>
      <w:tr w:rsidR="00D00D7D" w:rsidRPr="00047BD9" w14:paraId="6349E48C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7B8" w14:textId="77777777" w:rsidR="00D00D7D" w:rsidRPr="00047BD9" w:rsidRDefault="00D00D7D" w:rsidP="00673E91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bookmarkStart w:id="1" w:name="_Hlk41641756"/>
            <w:r w:rsidRPr="00047BD9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670D" w14:textId="77777777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22F5" w14:textId="77777777" w:rsidR="00D00D7D" w:rsidRPr="00047BD9" w:rsidRDefault="00D00D7D" w:rsidP="00673E91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00D7D" w:rsidRPr="00E248B2" w14:paraId="3B4670EA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D02" w14:textId="77777777" w:rsidR="00D00D7D" w:rsidRPr="00047BD9" w:rsidRDefault="00D00D7D" w:rsidP="00D00D7D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9A8" w14:textId="77DCF998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Zestaw klawiatura + mysz</w:t>
            </w:r>
            <w:r w:rsidR="00727EE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0CA" w14:textId="46F396FF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  <w:bCs/>
              </w:rPr>
              <w:t xml:space="preserve">Łączność </w:t>
            </w:r>
            <w:r w:rsidR="00A07EF0">
              <w:rPr>
                <w:rFonts w:ascii="Calibri" w:eastAsia="Times New Roman" w:hAnsi="Calibri" w:cs="Times New Roman"/>
                <w:bCs/>
              </w:rPr>
              <w:t>bez</w:t>
            </w:r>
            <w:r w:rsidR="00946BD7">
              <w:rPr>
                <w:rFonts w:ascii="Calibri" w:eastAsia="Times New Roman" w:hAnsi="Calibri" w:cs="Times New Roman"/>
                <w:bCs/>
              </w:rPr>
              <w:t>przewodowa</w:t>
            </w:r>
          </w:p>
          <w:p w14:paraId="4763460C" w14:textId="039B3560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eastAsia="Times New Roman" w:cs="Arial"/>
              </w:rPr>
              <w:t xml:space="preserve">Klawiatura pełnowymiarowa USA/Euro (QWERTY Layout) z wydzielonym blokiem numerycznym , rozmiar typu standard (nie MINI/SLIM). </w:t>
            </w:r>
            <w:r w:rsidRPr="00047BD9">
              <w:t>Kolory: czarny i/lub odcienie szarości.</w:t>
            </w:r>
            <w:r w:rsidRPr="00047BD9">
              <w:rPr>
                <w:rFonts w:eastAsia="Times New Roman" w:cs="Arial"/>
              </w:rPr>
              <w:t xml:space="preserve"> </w:t>
            </w:r>
          </w:p>
          <w:p w14:paraId="46830AD5" w14:textId="77777777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 xml:space="preserve">Odchylane nóżki umożliwiające regulację nachylenia klawiatury. </w:t>
            </w:r>
          </w:p>
          <w:p w14:paraId="19CF2836" w14:textId="3ADA5F13" w:rsidR="00D00D7D" w:rsidRPr="00946BD7" w:rsidRDefault="00D00D7D" w:rsidP="00946BD7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t>Mysz optyczna , 2 przyciski + rolka (</w:t>
            </w:r>
            <w:proofErr w:type="spellStart"/>
            <w:r w:rsidRPr="00047BD9">
              <w:t>scroll</w:t>
            </w:r>
            <w:proofErr w:type="spellEnd"/>
            <w:r w:rsidRPr="00047BD9">
              <w:t>). Kolory: czarny i/lub odcienie szarości. Rozdzielczość pracy min. 1</w:t>
            </w:r>
            <w:r w:rsidR="00477613">
              <w:t>6</w:t>
            </w:r>
            <w:r w:rsidRPr="00047BD9">
              <w:t xml:space="preserve">00 </w:t>
            </w:r>
            <w:proofErr w:type="spellStart"/>
            <w:r w:rsidRPr="00047BD9">
              <w:t>dp</w:t>
            </w:r>
            <w:r w:rsidR="00477613">
              <w:t>i</w:t>
            </w:r>
            <w:proofErr w:type="spellEnd"/>
            <w:r w:rsidR="00FC41B7">
              <w:t>.</w:t>
            </w:r>
          </w:p>
        </w:tc>
      </w:tr>
      <w:tr w:rsidR="00D00D7D" w:rsidRPr="00047BD9" w14:paraId="4D3BA227" w14:textId="77777777" w:rsidTr="00673E91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DEC" w14:textId="77777777" w:rsidR="00D00D7D" w:rsidRPr="00047BD9" w:rsidRDefault="00D00D7D" w:rsidP="00D00D7D">
            <w:pPr>
              <w:numPr>
                <w:ilvl w:val="0"/>
                <w:numId w:val="6"/>
              </w:num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334" w14:textId="77777777" w:rsidR="00D00D7D" w:rsidRPr="00047BD9" w:rsidRDefault="00D00D7D" w:rsidP="00673E91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047B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BC5" w14:textId="0084146F" w:rsidR="00D00D7D" w:rsidRPr="00047BD9" w:rsidRDefault="00D00D7D" w:rsidP="00D00D7D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047BD9">
              <w:rPr>
                <w:rFonts w:ascii="Calibri" w:eastAsia="Times New Roman" w:hAnsi="Calibri" w:cs="Times New Roman"/>
              </w:rPr>
              <w:t xml:space="preserve">Min. </w:t>
            </w:r>
            <w:r w:rsidR="00AA77ED" w:rsidRPr="00247B95">
              <w:rPr>
                <w:rFonts w:ascii="Calibri" w:eastAsia="Times New Roman" w:hAnsi="Calibri" w:cs="Times New Roman"/>
              </w:rPr>
              <w:t>2-letnia gwarancja</w:t>
            </w:r>
            <w:r w:rsidRPr="00047BD9">
              <w:rPr>
                <w:rFonts w:ascii="Calibri" w:eastAsia="Times New Roman" w:hAnsi="Calibri" w:cs="Times New Roman"/>
              </w:rPr>
              <w:t>. O</w:t>
            </w:r>
            <w:r w:rsidRPr="00047BD9">
              <w:rPr>
                <w:bCs/>
              </w:rPr>
              <w:t>bsługa serwisowa realizowana przez Wykonawcę lub Autoryzowany serwis producenta.</w:t>
            </w:r>
          </w:p>
        </w:tc>
      </w:tr>
      <w:bookmarkEnd w:id="1"/>
    </w:tbl>
    <w:p w14:paraId="79CF8DF3" w14:textId="68E67976" w:rsidR="00D00D7D" w:rsidRPr="00E73D81" w:rsidRDefault="00D00D7D" w:rsidP="00E73D81">
      <w:pPr>
        <w:rPr>
          <w:color w:val="FF0000"/>
        </w:rPr>
      </w:pPr>
    </w:p>
    <w:p w14:paraId="65CD8DFD" w14:textId="77777777" w:rsidR="00E73D81" w:rsidRDefault="00E73D81" w:rsidP="003D4E1E">
      <w:pPr>
        <w:pStyle w:val="Akapitzlist"/>
        <w:ind w:left="644"/>
        <w:rPr>
          <w:color w:val="FF0000"/>
        </w:rPr>
      </w:pPr>
    </w:p>
    <w:p w14:paraId="0C03B209" w14:textId="77777777" w:rsidR="00E73D81" w:rsidRPr="003D4E1E" w:rsidRDefault="00E73D81" w:rsidP="009E6E67">
      <w:pPr>
        <w:rPr>
          <w:color w:val="FF0000"/>
        </w:rPr>
      </w:pPr>
    </w:p>
    <w:sectPr w:rsidR="00E73D81" w:rsidRPr="003D4E1E" w:rsidSect="0057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6699" w14:textId="77777777" w:rsidR="00D96C6F" w:rsidRDefault="00D96C6F" w:rsidP="00523152">
      <w:pPr>
        <w:spacing w:after="0" w:line="240" w:lineRule="auto"/>
      </w:pPr>
      <w:r>
        <w:separator/>
      </w:r>
    </w:p>
  </w:endnote>
  <w:endnote w:type="continuationSeparator" w:id="0">
    <w:p w14:paraId="1A33F10D" w14:textId="77777777" w:rsidR="00D96C6F" w:rsidRDefault="00D96C6F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C65F" w14:textId="77777777" w:rsidR="007A67B1" w:rsidRDefault="007A6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AED" w14:textId="77777777" w:rsidR="007A67B1" w:rsidRDefault="007A67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CACB" w14:textId="77777777" w:rsidR="007A67B1" w:rsidRDefault="007A6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D635" w14:textId="77777777" w:rsidR="00D96C6F" w:rsidRDefault="00D96C6F" w:rsidP="00523152">
      <w:pPr>
        <w:spacing w:after="0" w:line="240" w:lineRule="auto"/>
      </w:pPr>
      <w:r>
        <w:separator/>
      </w:r>
    </w:p>
  </w:footnote>
  <w:footnote w:type="continuationSeparator" w:id="0">
    <w:p w14:paraId="71DB2E3E" w14:textId="77777777" w:rsidR="00D96C6F" w:rsidRDefault="00D96C6F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717B" w14:textId="77777777" w:rsidR="007A67B1" w:rsidRDefault="007A6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1AAB" w14:textId="1A80F9FF" w:rsidR="00F03F8A" w:rsidRPr="00F03F8A" w:rsidRDefault="008B7A6B" w:rsidP="008B7A6B">
    <w:pPr>
      <w:pStyle w:val="Nagwek"/>
      <w:rPr>
        <w:b/>
      </w:rPr>
    </w:pPr>
    <w:bookmarkStart w:id="2" w:name="_Hlk42511085"/>
    <w:bookmarkStart w:id="3" w:name="_Hlk42511086"/>
    <w:r>
      <w:rPr>
        <w:b/>
      </w:rPr>
      <w:t xml:space="preserve">Część </w:t>
    </w:r>
    <w:r w:rsidR="00362947">
      <w:rPr>
        <w:b/>
      </w:rPr>
      <w:t>2</w:t>
    </w:r>
    <w:r>
      <w:rPr>
        <w:b/>
      </w:rPr>
      <w:t xml:space="preserve">                                                                                                                                     Załącznik nr 1.</w:t>
    </w:r>
    <w:r w:rsidR="00362947">
      <w:rPr>
        <w:b/>
      </w:rPr>
      <w:t>2</w:t>
    </w:r>
    <w:r>
      <w:rPr>
        <w:b/>
      </w:rPr>
      <w:t xml:space="preserve"> do SWZ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2F34" w14:textId="77777777" w:rsidR="007A67B1" w:rsidRDefault="007A6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A0476DA"/>
    <w:multiLevelType w:val="hybridMultilevel"/>
    <w:tmpl w:val="B97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CD4"/>
    <w:multiLevelType w:val="hybridMultilevel"/>
    <w:tmpl w:val="D4F8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92A6A"/>
    <w:multiLevelType w:val="hybridMultilevel"/>
    <w:tmpl w:val="93C0C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671057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62313">
    <w:abstractNumId w:val="8"/>
  </w:num>
  <w:num w:numId="3" w16cid:durableId="933705282">
    <w:abstractNumId w:val="12"/>
  </w:num>
  <w:num w:numId="4" w16cid:durableId="59910325">
    <w:abstractNumId w:val="11"/>
  </w:num>
  <w:num w:numId="5" w16cid:durableId="2144540507">
    <w:abstractNumId w:val="9"/>
  </w:num>
  <w:num w:numId="6" w16cid:durableId="629868527">
    <w:abstractNumId w:val="5"/>
  </w:num>
  <w:num w:numId="7" w16cid:durableId="1081413966">
    <w:abstractNumId w:val="3"/>
  </w:num>
  <w:num w:numId="8" w16cid:durableId="183637540">
    <w:abstractNumId w:val="10"/>
  </w:num>
  <w:num w:numId="9" w16cid:durableId="1831410344">
    <w:abstractNumId w:val="6"/>
  </w:num>
  <w:num w:numId="10" w16cid:durableId="1166285270">
    <w:abstractNumId w:val="0"/>
  </w:num>
  <w:num w:numId="11" w16cid:durableId="1176531086">
    <w:abstractNumId w:val="4"/>
  </w:num>
  <w:num w:numId="12" w16cid:durableId="1908763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3389327">
    <w:abstractNumId w:val="2"/>
  </w:num>
  <w:num w:numId="14" w16cid:durableId="6344117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0"/>
    <w:rsid w:val="00014D19"/>
    <w:rsid w:val="000150F7"/>
    <w:rsid w:val="00015B79"/>
    <w:rsid w:val="00015DBD"/>
    <w:rsid w:val="00015FD6"/>
    <w:rsid w:val="000317E3"/>
    <w:rsid w:val="00037027"/>
    <w:rsid w:val="000450C3"/>
    <w:rsid w:val="00051237"/>
    <w:rsid w:val="00052768"/>
    <w:rsid w:val="00052932"/>
    <w:rsid w:val="00055958"/>
    <w:rsid w:val="00075A5C"/>
    <w:rsid w:val="000818CF"/>
    <w:rsid w:val="00083F81"/>
    <w:rsid w:val="0009393C"/>
    <w:rsid w:val="000A7FDF"/>
    <w:rsid w:val="000C576E"/>
    <w:rsid w:val="000D0D28"/>
    <w:rsid w:val="000D0DB9"/>
    <w:rsid w:val="000D61EC"/>
    <w:rsid w:val="000D6BC0"/>
    <w:rsid w:val="000E3CE8"/>
    <w:rsid w:val="000E45B3"/>
    <w:rsid w:val="000F0745"/>
    <w:rsid w:val="000F66C2"/>
    <w:rsid w:val="000F735A"/>
    <w:rsid w:val="000F7393"/>
    <w:rsid w:val="00106792"/>
    <w:rsid w:val="00110AA1"/>
    <w:rsid w:val="0012151A"/>
    <w:rsid w:val="00136436"/>
    <w:rsid w:val="001605F8"/>
    <w:rsid w:val="00163983"/>
    <w:rsid w:val="00166947"/>
    <w:rsid w:val="00172D4B"/>
    <w:rsid w:val="00174879"/>
    <w:rsid w:val="00174A32"/>
    <w:rsid w:val="001814E0"/>
    <w:rsid w:val="00184CA8"/>
    <w:rsid w:val="001A250F"/>
    <w:rsid w:val="001B38F0"/>
    <w:rsid w:val="001B4D48"/>
    <w:rsid w:val="001D4BFD"/>
    <w:rsid w:val="001E3113"/>
    <w:rsid w:val="001E66B1"/>
    <w:rsid w:val="00210078"/>
    <w:rsid w:val="0021125C"/>
    <w:rsid w:val="0021435A"/>
    <w:rsid w:val="00222DE7"/>
    <w:rsid w:val="00223812"/>
    <w:rsid w:val="00226CF6"/>
    <w:rsid w:val="00236F29"/>
    <w:rsid w:val="00240051"/>
    <w:rsid w:val="00244ADF"/>
    <w:rsid w:val="00250FD3"/>
    <w:rsid w:val="00266A83"/>
    <w:rsid w:val="002673DE"/>
    <w:rsid w:val="002A2984"/>
    <w:rsid w:val="002A7049"/>
    <w:rsid w:val="002C26C0"/>
    <w:rsid w:val="002D685C"/>
    <w:rsid w:val="002E2AC8"/>
    <w:rsid w:val="002F431F"/>
    <w:rsid w:val="00304022"/>
    <w:rsid w:val="00306907"/>
    <w:rsid w:val="00306A2D"/>
    <w:rsid w:val="003315DF"/>
    <w:rsid w:val="00335ECB"/>
    <w:rsid w:val="00336FF9"/>
    <w:rsid w:val="003424C1"/>
    <w:rsid w:val="003510C1"/>
    <w:rsid w:val="003565E2"/>
    <w:rsid w:val="00361F17"/>
    <w:rsid w:val="00362947"/>
    <w:rsid w:val="003670AC"/>
    <w:rsid w:val="0037531E"/>
    <w:rsid w:val="00382FE1"/>
    <w:rsid w:val="0039239E"/>
    <w:rsid w:val="003A7AAB"/>
    <w:rsid w:val="003B6621"/>
    <w:rsid w:val="003D4E1E"/>
    <w:rsid w:val="00403384"/>
    <w:rsid w:val="00422F80"/>
    <w:rsid w:val="0042705C"/>
    <w:rsid w:val="004448EB"/>
    <w:rsid w:val="00463423"/>
    <w:rsid w:val="00466A39"/>
    <w:rsid w:val="00471677"/>
    <w:rsid w:val="00472AB4"/>
    <w:rsid w:val="00477613"/>
    <w:rsid w:val="00495AF7"/>
    <w:rsid w:val="00497649"/>
    <w:rsid w:val="004A5C0D"/>
    <w:rsid w:val="004C219A"/>
    <w:rsid w:val="004D41B9"/>
    <w:rsid w:val="004D7F1E"/>
    <w:rsid w:val="004F1E3A"/>
    <w:rsid w:val="00503861"/>
    <w:rsid w:val="00504710"/>
    <w:rsid w:val="00523152"/>
    <w:rsid w:val="00531A67"/>
    <w:rsid w:val="00543855"/>
    <w:rsid w:val="005447EC"/>
    <w:rsid w:val="0057215D"/>
    <w:rsid w:val="00573F62"/>
    <w:rsid w:val="00586D3B"/>
    <w:rsid w:val="00593EB5"/>
    <w:rsid w:val="00595DCE"/>
    <w:rsid w:val="005B1567"/>
    <w:rsid w:val="005B18F1"/>
    <w:rsid w:val="005B7801"/>
    <w:rsid w:val="005C551E"/>
    <w:rsid w:val="005C75C9"/>
    <w:rsid w:val="005D2B92"/>
    <w:rsid w:val="005D6024"/>
    <w:rsid w:val="005E4E5C"/>
    <w:rsid w:val="005E765E"/>
    <w:rsid w:val="005F49BF"/>
    <w:rsid w:val="005F58D1"/>
    <w:rsid w:val="00602107"/>
    <w:rsid w:val="006270D1"/>
    <w:rsid w:val="006377D5"/>
    <w:rsid w:val="00645728"/>
    <w:rsid w:val="00660BC4"/>
    <w:rsid w:val="00660BCB"/>
    <w:rsid w:val="006732B7"/>
    <w:rsid w:val="00677E9D"/>
    <w:rsid w:val="00682C97"/>
    <w:rsid w:val="00684208"/>
    <w:rsid w:val="00686418"/>
    <w:rsid w:val="0068705F"/>
    <w:rsid w:val="0069092E"/>
    <w:rsid w:val="00696C66"/>
    <w:rsid w:val="006B51F8"/>
    <w:rsid w:val="006C12D0"/>
    <w:rsid w:val="006D12BB"/>
    <w:rsid w:val="006D577D"/>
    <w:rsid w:val="006D5E4D"/>
    <w:rsid w:val="006E582E"/>
    <w:rsid w:val="006E5A84"/>
    <w:rsid w:val="006E7A58"/>
    <w:rsid w:val="006F386C"/>
    <w:rsid w:val="00710672"/>
    <w:rsid w:val="00710862"/>
    <w:rsid w:val="007126F5"/>
    <w:rsid w:val="007145C4"/>
    <w:rsid w:val="007148D2"/>
    <w:rsid w:val="00722454"/>
    <w:rsid w:val="00727B19"/>
    <w:rsid w:val="00727EE2"/>
    <w:rsid w:val="00733D9B"/>
    <w:rsid w:val="00737E51"/>
    <w:rsid w:val="00747F09"/>
    <w:rsid w:val="0075578B"/>
    <w:rsid w:val="0076128E"/>
    <w:rsid w:val="00762236"/>
    <w:rsid w:val="007722A8"/>
    <w:rsid w:val="00795EFA"/>
    <w:rsid w:val="007A60C2"/>
    <w:rsid w:val="007A67B1"/>
    <w:rsid w:val="007B6CB7"/>
    <w:rsid w:val="007C1C84"/>
    <w:rsid w:val="00800FCE"/>
    <w:rsid w:val="0080610C"/>
    <w:rsid w:val="008101A8"/>
    <w:rsid w:val="008101CE"/>
    <w:rsid w:val="0081211B"/>
    <w:rsid w:val="0081479E"/>
    <w:rsid w:val="00830A6F"/>
    <w:rsid w:val="008364BE"/>
    <w:rsid w:val="00836670"/>
    <w:rsid w:val="008402DF"/>
    <w:rsid w:val="008477A4"/>
    <w:rsid w:val="00854583"/>
    <w:rsid w:val="00871A05"/>
    <w:rsid w:val="00876CC0"/>
    <w:rsid w:val="00880A0B"/>
    <w:rsid w:val="008824E3"/>
    <w:rsid w:val="00887165"/>
    <w:rsid w:val="00887AE0"/>
    <w:rsid w:val="00891F02"/>
    <w:rsid w:val="0089346E"/>
    <w:rsid w:val="008959FB"/>
    <w:rsid w:val="00896200"/>
    <w:rsid w:val="008B7A6B"/>
    <w:rsid w:val="008C12A3"/>
    <w:rsid w:val="008D0AF2"/>
    <w:rsid w:val="008D5576"/>
    <w:rsid w:val="008E33D7"/>
    <w:rsid w:val="008E3A63"/>
    <w:rsid w:val="008E3E76"/>
    <w:rsid w:val="008E593F"/>
    <w:rsid w:val="00900710"/>
    <w:rsid w:val="00914E34"/>
    <w:rsid w:val="00915B9A"/>
    <w:rsid w:val="00920FD1"/>
    <w:rsid w:val="00935103"/>
    <w:rsid w:val="0094121B"/>
    <w:rsid w:val="00946BD7"/>
    <w:rsid w:val="009621C0"/>
    <w:rsid w:val="00981D69"/>
    <w:rsid w:val="0099061A"/>
    <w:rsid w:val="00994466"/>
    <w:rsid w:val="009B4DE5"/>
    <w:rsid w:val="009B6F5D"/>
    <w:rsid w:val="009C4050"/>
    <w:rsid w:val="009E2669"/>
    <w:rsid w:val="009E6E67"/>
    <w:rsid w:val="009F2F33"/>
    <w:rsid w:val="009F644B"/>
    <w:rsid w:val="00A07EF0"/>
    <w:rsid w:val="00A201C8"/>
    <w:rsid w:val="00A21F99"/>
    <w:rsid w:val="00A21FC5"/>
    <w:rsid w:val="00A34BB3"/>
    <w:rsid w:val="00A37F63"/>
    <w:rsid w:val="00A40245"/>
    <w:rsid w:val="00A42060"/>
    <w:rsid w:val="00A5651A"/>
    <w:rsid w:val="00A572D3"/>
    <w:rsid w:val="00A57EDA"/>
    <w:rsid w:val="00A6345C"/>
    <w:rsid w:val="00A7534B"/>
    <w:rsid w:val="00A81A4E"/>
    <w:rsid w:val="00A86740"/>
    <w:rsid w:val="00A87F4B"/>
    <w:rsid w:val="00A91F6E"/>
    <w:rsid w:val="00A94C1F"/>
    <w:rsid w:val="00A96CF4"/>
    <w:rsid w:val="00A9792F"/>
    <w:rsid w:val="00AA12E6"/>
    <w:rsid w:val="00AA77ED"/>
    <w:rsid w:val="00AA7FEA"/>
    <w:rsid w:val="00AD17C1"/>
    <w:rsid w:val="00AE0A4A"/>
    <w:rsid w:val="00AE517C"/>
    <w:rsid w:val="00AF233E"/>
    <w:rsid w:val="00AF3ED7"/>
    <w:rsid w:val="00AF6575"/>
    <w:rsid w:val="00B03CD9"/>
    <w:rsid w:val="00B11A9B"/>
    <w:rsid w:val="00B14BD9"/>
    <w:rsid w:val="00B31355"/>
    <w:rsid w:val="00B36E3E"/>
    <w:rsid w:val="00B42422"/>
    <w:rsid w:val="00B446F2"/>
    <w:rsid w:val="00B573FF"/>
    <w:rsid w:val="00B607F9"/>
    <w:rsid w:val="00B65C98"/>
    <w:rsid w:val="00B6633E"/>
    <w:rsid w:val="00B666F6"/>
    <w:rsid w:val="00B732E2"/>
    <w:rsid w:val="00B90454"/>
    <w:rsid w:val="00BB5605"/>
    <w:rsid w:val="00BD19CC"/>
    <w:rsid w:val="00BD3B0C"/>
    <w:rsid w:val="00BD70F8"/>
    <w:rsid w:val="00BE48FD"/>
    <w:rsid w:val="00BE7A86"/>
    <w:rsid w:val="00BF0F7A"/>
    <w:rsid w:val="00BF447F"/>
    <w:rsid w:val="00C01195"/>
    <w:rsid w:val="00C11C80"/>
    <w:rsid w:val="00C350AB"/>
    <w:rsid w:val="00C45876"/>
    <w:rsid w:val="00C546E0"/>
    <w:rsid w:val="00C802DF"/>
    <w:rsid w:val="00C8728D"/>
    <w:rsid w:val="00CA1B3C"/>
    <w:rsid w:val="00CA71B3"/>
    <w:rsid w:val="00CC55B4"/>
    <w:rsid w:val="00CC7F6B"/>
    <w:rsid w:val="00CD242A"/>
    <w:rsid w:val="00CD6BD5"/>
    <w:rsid w:val="00CE1787"/>
    <w:rsid w:val="00D00D7D"/>
    <w:rsid w:val="00D12BAC"/>
    <w:rsid w:val="00D43418"/>
    <w:rsid w:val="00D459D6"/>
    <w:rsid w:val="00D548BA"/>
    <w:rsid w:val="00D664F1"/>
    <w:rsid w:val="00D71CE8"/>
    <w:rsid w:val="00D72ECB"/>
    <w:rsid w:val="00D748B3"/>
    <w:rsid w:val="00D76996"/>
    <w:rsid w:val="00D76D7A"/>
    <w:rsid w:val="00D77C18"/>
    <w:rsid w:val="00D818B4"/>
    <w:rsid w:val="00D86B5D"/>
    <w:rsid w:val="00D96C6F"/>
    <w:rsid w:val="00DA23F1"/>
    <w:rsid w:val="00DB19C3"/>
    <w:rsid w:val="00DB4B2B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1C17"/>
    <w:rsid w:val="00E060EA"/>
    <w:rsid w:val="00E14225"/>
    <w:rsid w:val="00E17BFF"/>
    <w:rsid w:val="00E24B26"/>
    <w:rsid w:val="00E329EE"/>
    <w:rsid w:val="00E35741"/>
    <w:rsid w:val="00E45017"/>
    <w:rsid w:val="00E5324E"/>
    <w:rsid w:val="00E53EE5"/>
    <w:rsid w:val="00E60C37"/>
    <w:rsid w:val="00E6148D"/>
    <w:rsid w:val="00E70134"/>
    <w:rsid w:val="00E73D81"/>
    <w:rsid w:val="00E75529"/>
    <w:rsid w:val="00E834DD"/>
    <w:rsid w:val="00E86554"/>
    <w:rsid w:val="00E91709"/>
    <w:rsid w:val="00E924A9"/>
    <w:rsid w:val="00EA2FB5"/>
    <w:rsid w:val="00EA7946"/>
    <w:rsid w:val="00EC3A97"/>
    <w:rsid w:val="00ED2300"/>
    <w:rsid w:val="00ED71BD"/>
    <w:rsid w:val="00EE5F6D"/>
    <w:rsid w:val="00EE6AAF"/>
    <w:rsid w:val="00EF07C5"/>
    <w:rsid w:val="00EF2DAC"/>
    <w:rsid w:val="00F03F8A"/>
    <w:rsid w:val="00F14CCB"/>
    <w:rsid w:val="00F240FC"/>
    <w:rsid w:val="00F24DE9"/>
    <w:rsid w:val="00F25746"/>
    <w:rsid w:val="00F51412"/>
    <w:rsid w:val="00F51695"/>
    <w:rsid w:val="00F536D9"/>
    <w:rsid w:val="00F574E3"/>
    <w:rsid w:val="00F7036A"/>
    <w:rsid w:val="00F7234E"/>
    <w:rsid w:val="00F72CE9"/>
    <w:rsid w:val="00F77CDA"/>
    <w:rsid w:val="00FA2C19"/>
    <w:rsid w:val="00FA65DD"/>
    <w:rsid w:val="00FB08F0"/>
    <w:rsid w:val="00FB4C65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Jabłukiewicz Piotr</cp:lastModifiedBy>
  <cp:revision>10</cp:revision>
  <cp:lastPrinted>2024-10-08T09:25:00Z</cp:lastPrinted>
  <dcterms:created xsi:type="dcterms:W3CDTF">2024-10-23T12:04:00Z</dcterms:created>
  <dcterms:modified xsi:type="dcterms:W3CDTF">2024-11-22T12:51:00Z</dcterms:modified>
</cp:coreProperties>
</file>