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21571A" w:rsidP="00090EA1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806DD3"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15.06.2023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Default="00ED75D5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1.11.2023</w:t>
      </w:r>
    </w:p>
    <w:p w:rsidR="00EC413C" w:rsidRPr="003409C8" w:rsidRDefault="00EC413C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Default="0021571A" w:rsidP="004C4B1D">
      <w:pPr>
        <w:pStyle w:val="Nagwek1"/>
        <w:spacing w:before="0" w:line="360" w:lineRule="auto"/>
        <w:rPr>
          <w:rFonts w:eastAsia="Trebuchet MS"/>
        </w:rPr>
      </w:pPr>
      <w:proofErr w:type="gramStart"/>
      <w:r w:rsidRPr="007C3496">
        <w:rPr>
          <w:rFonts w:eastAsia="Trebuchet MS"/>
        </w:rPr>
        <w:t>dotyczy</w:t>
      </w:r>
      <w:proofErr w:type="gramEnd"/>
      <w:r w:rsidRPr="007C3496">
        <w:rPr>
          <w:rFonts w:eastAsia="Trebuchet MS"/>
        </w:rPr>
        <w:t>: postępowania o udzielenie zamówienia publicznego prowadzonego w trybie przetargu nieograniczonego pn.: „</w:t>
      </w:r>
      <w:r w:rsidR="00ED75D5" w:rsidRPr="00ED75D5">
        <w:rPr>
          <w:rFonts w:eastAsia="Trebuchet MS"/>
        </w:rPr>
        <w:t>Odbiór, transport i zagospodarowanie odpadów komunalnych z terenu gminy Sulejów</w:t>
      </w:r>
      <w:r w:rsidRPr="007C3496">
        <w:rPr>
          <w:rFonts w:eastAsia="Trebuchet MS"/>
        </w:rPr>
        <w:t>”</w:t>
      </w:r>
    </w:p>
    <w:p w:rsidR="00EC413C" w:rsidRPr="00EC413C" w:rsidRDefault="00EC413C" w:rsidP="00EC413C"/>
    <w:p w:rsidR="0021571A" w:rsidRDefault="0021571A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Działa</w:t>
      </w:r>
      <w:r w:rsidR="00B92397">
        <w:rPr>
          <w:rFonts w:asciiTheme="minorHAnsi" w:eastAsia="Trebuchet MS" w:hAnsiTheme="minorHAnsi"/>
          <w:color w:val="000000" w:themeColor="text1"/>
          <w:sz w:val="24"/>
          <w:szCs w:val="24"/>
        </w:rPr>
        <w:t>jąc na podstawie art. 135 ust. 6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(zwanej dalej Pzp)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wniosk</w:t>
      </w:r>
      <w:r w:rsidR="004A16B1">
        <w:rPr>
          <w:rFonts w:asciiTheme="minorHAnsi" w:eastAsia="Trebuchet MS" w:hAnsiTheme="minorHAnsi"/>
          <w:color w:val="000000" w:themeColor="text1"/>
          <w:sz w:val="24"/>
          <w:szCs w:val="24"/>
        </w:rPr>
        <w:t>ów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wyjaśnienie treści Specyfikacji Warunków Zamówienia, Zamawiający udziela następujących wyjaśnień:</w:t>
      </w:r>
    </w:p>
    <w:p w:rsidR="004C4B1D" w:rsidRPr="003409C8" w:rsidRDefault="004C4B1D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B75C0" w:rsidRPr="003409C8" w:rsidRDefault="00DB75C0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</w:p>
    <w:p w:rsidR="00FA7144" w:rsidRPr="00FA7144" w:rsidRDefault="00FA7144" w:rsidP="004C4B1D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w treści Załącznika nr 1 do SWZ - Opis przedmiotu zamówienia w rozdziale 1.2.5.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określił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, że:</w:t>
      </w:r>
    </w:p>
    <w:p w:rsidR="00FA7144" w:rsidRPr="00FA7144" w:rsidRDefault="00FA7144" w:rsidP="004C4B1D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„Szacunkowa ilość odpadów: 5 160 Mg (uwzględniająca okres 12 miesięcy)”</w:t>
      </w:r>
    </w:p>
    <w:p w:rsidR="00D702A4" w:rsidRPr="003409C8" w:rsidRDefault="00FA7144" w:rsidP="004C4B1D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Natomiast w treści Załącznika nr 2 do SWZ – Formularz ofertowy, Zamawiający określił szacunkową ilość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odpadów jako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6 160 Mg. Wnosimy o wyjaśnienie różnic oraz ujednolicenie zapisów.</w:t>
      </w:r>
    </w:p>
    <w:p w:rsidR="008D3871" w:rsidRDefault="008D3871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06DD3" w:rsidRPr="00806DD3" w:rsidRDefault="00806DD3" w:rsidP="00806DD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określił w Opisie przedmiotu zamówienia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szacunkową ilość odpadów: 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5 160 Mg (uwz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ględniająca okres 12 miesięcy) oraz 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opcjonalnie: nie więcej niż 1000 Mg - w skali całej umowy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Ponadto w Formularzu ofertowym (załącznik nr 2 do SWZ) przy 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Kryterium: Cena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określił, że Wykonawca ma obowiązek wpisać w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artość brutto całej oferty (obejmujące zamówienie podstawowe i opcjonalne)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4C4B1D" w:rsidRPr="003409C8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DB75C0" w:rsidRPr="003409C8" w:rsidRDefault="00DB75C0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FA7144" w:rsidRPr="00FA7144" w:rsidRDefault="00FA7144" w:rsidP="004C4B1D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w treści Załącznika nr 1 do SWZ - Opis przedmiotu zamówienia w rozdziale 1.7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ust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2) pkt. b) oraz w rozdziale 1.10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ust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1.6.1 określił, że: </w:t>
      </w:r>
    </w:p>
    <w:p w:rsidR="00FA7144" w:rsidRPr="00FA7144" w:rsidRDefault="00FA7144" w:rsidP="004C4B1D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„Sprawozdań rocznych, o których mowa w art. 9nb ustawy z dnia 13 września 1996 r. o utrzymaniu czystości i porządku w gminach (</w:t>
      </w:r>
      <w:proofErr w:type="spell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Dz. U.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r., poz. 2519, z 2023 r. poz. 877)” </w:t>
      </w:r>
    </w:p>
    <w:p w:rsidR="00DB75C0" w:rsidRPr="003409C8" w:rsidRDefault="00FA7144" w:rsidP="004C4B1D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Natomiast zgodnie z ustawą z dnia 13 września 1996 r. o utrzymaniu czystości i porządku w gminach (</w:t>
      </w:r>
      <w:proofErr w:type="spell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Dz. U.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r., poz. 2519, z 2023 r. poz. 877), powinien być to art. 9n. Wnosimy o zmianę zapisów.</w:t>
      </w:r>
    </w:p>
    <w:p w:rsidR="008D3871" w:rsidRDefault="008D3871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A5485F" w:rsidRDefault="00A5485F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zapisy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Rozdziału</w:t>
      </w:r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1.7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pkt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 lit. b</w:t>
      </w:r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Opisu przedmiotu zamówienia w następujący sposób: </w:t>
      </w:r>
    </w:p>
    <w:p w:rsidR="00A5485F" w:rsidRPr="00A5485F" w:rsidRDefault="00A5485F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A5485F" w:rsidRDefault="00A5485F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b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 </w:t>
      </w:r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>Sprawozdań rocznych, o których mowa w art. 9nb ustawy z dnia 13 września 1996 r. o utrzymaniu czystości i porządku w gminach (</w:t>
      </w:r>
      <w:proofErr w:type="spellStart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Dz. U. </w:t>
      </w:r>
      <w:proofErr w:type="gramStart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r., poz. 2519, z 2023 r. poz. 877)</w:t>
      </w:r>
    </w:p>
    <w:p w:rsidR="00A5485F" w:rsidRPr="00A5485F" w:rsidRDefault="00A5485F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4C4B1D" w:rsidRDefault="00A5485F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b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 </w:t>
      </w:r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Sprawozdań rocznych, o których mowa </w:t>
      </w:r>
      <w:r w:rsidRPr="00F26206">
        <w:rPr>
          <w:rFonts w:asciiTheme="minorHAnsi" w:eastAsia="Trebuchet MS" w:hAnsiTheme="minorHAnsi"/>
          <w:sz w:val="24"/>
          <w:szCs w:val="24"/>
        </w:rPr>
        <w:t xml:space="preserve">w art. 9n ustawy </w:t>
      </w:r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>z dnia 13 września 1996 r. o utrzymaniu czystości i porządku w gminach (</w:t>
      </w:r>
      <w:proofErr w:type="spellStart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Dz. U. </w:t>
      </w:r>
      <w:proofErr w:type="gramStart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A5485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r., poz. 2519, z 2023 r. poz. 877)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A5485F" w:rsidRPr="00A5485F" w:rsidRDefault="00A5485F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B75C0" w:rsidRDefault="00DB75C0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W Rozdziale 3 pkt 3.5. SWZ Zamawiający wskazał, że: Przy obliczaniu procentowego limitu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pojazdów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elektrycznych lub pojazdów napędzanych gazem ziemnym, należy uwzględnić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zaokrąglenie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pełnych jednostek (sztuk).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Przykład: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Jeżeli Wykonawca użytkować będzie przy wykonaniu zamówienia ogółem: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• od 1 do 10 pojazdów to udział pojazdów elektrycznych lub pojazdów napędzanych gazem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ziemnym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wynosić musi 1 sztuka,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• od 11 do 20 pojazdów to udział pojazdów elektrycznych lub pojazdów napędzanych gazem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ziemnym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wynosić musi 2 sztuki.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Zgodnie z art. 36a Ustawa o elektromobilności i paliwach alternatywnych: Udział pojazdów,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którym mowa w art. 34-36, art. 68 i art. 68a, oblicza się, stosując zasadę,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zgodnie z którą</w:t>
      </w:r>
      <w:proofErr w:type="gramEnd"/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wielkość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tego udziału poniżej 0,5 zaokrągla się w dół, a wielkość tego udziału 0,5 i powyżej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zaokrągla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się w górę.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Prosimy o dostosowanie postanowień SWZ do przepisów powszechnie obowiązującego prawa.</w:t>
      </w:r>
    </w:p>
    <w:p w:rsid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2A3631" w:rsidRDefault="002A3631" w:rsidP="006C0FC9">
      <w:pPr>
        <w:tabs>
          <w:tab w:val="left" w:pos="426"/>
        </w:tabs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 xml:space="preserve">W niniejszym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postępowaniu jednym z warunków </w:t>
      </w: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udziału w postępowaniu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w zakresie zdolności technicznej lub zawodowej</w:t>
      </w: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jest posiadanie przez Wykonawcę</w:t>
      </w: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specjalistyczn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ych samochodów </w:t>
      </w: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t>do wywozu odpadów komunalnych - w ilości nie mniejszej niż 7 pojazdów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2A3631" w:rsidRDefault="002A3631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związku z tym Zamawiający zmienia zapisy Rozdziału 3 pkt 3.5 specyfikacji warunków zamówienia w następujący sposób: </w:t>
      </w:r>
    </w:p>
    <w:p w:rsidR="002A3631" w:rsidRPr="002A3631" w:rsidRDefault="002A3631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2A363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2A3631" w:rsidRDefault="002A3631" w:rsidP="002A3631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9E43E7">
        <w:rPr>
          <w:rFonts w:asciiTheme="minorHAnsi" w:hAnsiTheme="minorHAnsi"/>
          <w:sz w:val="24"/>
          <w:szCs w:val="24"/>
        </w:rPr>
        <w:t>Przy obliczaniu procentowego limitu pojazdów elektrycznych lub pojazdów napędzanych gazem ziemnym, należy uwzględnić zaokrąglenie do pełnych jednostek (sztuk).</w:t>
      </w:r>
    </w:p>
    <w:p w:rsidR="002A3631" w:rsidRPr="009E43E7" w:rsidRDefault="002A3631" w:rsidP="002A3631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9E43E7">
        <w:rPr>
          <w:rFonts w:asciiTheme="minorHAnsi" w:hAnsiTheme="minorHAnsi"/>
          <w:sz w:val="24"/>
          <w:szCs w:val="24"/>
        </w:rPr>
        <w:t>Przykład:</w:t>
      </w:r>
    </w:p>
    <w:p w:rsidR="002A3631" w:rsidRPr="009E43E7" w:rsidRDefault="002A3631" w:rsidP="002A3631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9E43E7">
        <w:rPr>
          <w:rFonts w:asciiTheme="minorHAnsi" w:hAnsiTheme="minorHAnsi"/>
          <w:sz w:val="24"/>
          <w:szCs w:val="24"/>
        </w:rPr>
        <w:t>Jeżeli Wykonawca użytkować będzie przy wykonaniu zamówienia ogółem:</w:t>
      </w:r>
    </w:p>
    <w:p w:rsidR="002A3631" w:rsidRDefault="002A3631" w:rsidP="002A3631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9E43E7">
        <w:rPr>
          <w:rFonts w:asciiTheme="minorHAnsi" w:hAnsiTheme="minorHAnsi"/>
          <w:sz w:val="24"/>
          <w:szCs w:val="24"/>
        </w:rPr>
        <w:t>od</w:t>
      </w:r>
      <w:proofErr w:type="gramEnd"/>
      <w:r w:rsidRPr="009E43E7">
        <w:rPr>
          <w:rFonts w:asciiTheme="minorHAnsi" w:hAnsiTheme="minorHAnsi"/>
          <w:sz w:val="24"/>
          <w:szCs w:val="24"/>
        </w:rPr>
        <w:t xml:space="preserve"> 1 do 10 pojazdów to udział pojazdów elektrycznych lub pojazdów napędzanych gazem ziemnym wynosić mu</w:t>
      </w:r>
      <w:r>
        <w:rPr>
          <w:rFonts w:asciiTheme="minorHAnsi" w:hAnsiTheme="minorHAnsi"/>
          <w:sz w:val="24"/>
          <w:szCs w:val="24"/>
        </w:rPr>
        <w:t>si 1 sztuka,</w:t>
      </w:r>
      <w:r w:rsidRPr="009E43E7">
        <w:rPr>
          <w:rFonts w:asciiTheme="minorHAnsi" w:hAnsiTheme="minorHAnsi"/>
          <w:sz w:val="24"/>
          <w:szCs w:val="24"/>
        </w:rPr>
        <w:t xml:space="preserve"> </w:t>
      </w:r>
    </w:p>
    <w:p w:rsidR="002A3631" w:rsidRPr="009E43E7" w:rsidRDefault="002A3631" w:rsidP="002A3631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9E43E7">
        <w:rPr>
          <w:rFonts w:asciiTheme="minorHAnsi" w:hAnsiTheme="minorHAnsi"/>
          <w:sz w:val="24"/>
          <w:szCs w:val="24"/>
        </w:rPr>
        <w:t>od</w:t>
      </w:r>
      <w:proofErr w:type="gramEnd"/>
      <w:r w:rsidRPr="009E43E7">
        <w:rPr>
          <w:rFonts w:asciiTheme="minorHAnsi" w:hAnsiTheme="minorHAnsi"/>
          <w:sz w:val="24"/>
          <w:szCs w:val="24"/>
        </w:rPr>
        <w:t xml:space="preserve"> 11 do 20 pojazdów to udział pojazdów elektrycznych lub pojazdów napędzanych gazem ziemnym wynosić musi 2 sztuki.</w:t>
      </w:r>
    </w:p>
    <w:p w:rsidR="002A3631" w:rsidRDefault="002A3631" w:rsidP="002A3631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8D3FE1">
        <w:rPr>
          <w:rFonts w:asciiTheme="minorHAnsi" w:hAnsiTheme="minorHAnsi"/>
          <w:sz w:val="24"/>
          <w:szCs w:val="24"/>
        </w:rPr>
        <w:t xml:space="preserve">W związku z powyższym Wykonawca winien zapewnić udział pojazdów nisko </w:t>
      </w:r>
      <w:r w:rsidRPr="008B0387">
        <w:rPr>
          <w:rFonts w:asciiTheme="minorHAnsi" w:hAnsiTheme="minorHAnsi"/>
          <w:sz w:val="24"/>
          <w:szCs w:val="24"/>
        </w:rPr>
        <w:t xml:space="preserve">i zeroemisyjnych we flocie pojazdów użytkowanych przy wykonywaniu przedmiotowego zamówienia. W razie niezapewnienia przez Wykonawcę w/w obowiązku i wystąpienia z tego powodu skutków prawnych określonych przepisami prawa, Wykonawca ponosi względem Zamawiającego pełną odpowiedzialność za szkodę Zamawiającego z tego wynikającą.  </w:t>
      </w:r>
    </w:p>
    <w:p w:rsidR="002A3631" w:rsidRDefault="002A3631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A3631" w:rsidRPr="002A3631" w:rsidRDefault="002A3631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2A363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2A3631" w:rsidRPr="004B5460" w:rsidRDefault="002A3631" w:rsidP="006C0FC9">
      <w:pPr>
        <w:tabs>
          <w:tab w:val="left" w:pos="567"/>
        </w:tabs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 xml:space="preserve">Udział procentowego limitu pojazdów elektrycznych lub pojazdów napędzanych gazem ziemnym oblicza się stosując zasadę, </w:t>
      </w:r>
      <w:proofErr w:type="gramStart"/>
      <w:r w:rsidRPr="004B5460">
        <w:rPr>
          <w:rFonts w:asciiTheme="minorHAnsi" w:eastAsia="Trebuchet MS" w:hAnsiTheme="minorHAnsi"/>
          <w:sz w:val="24"/>
          <w:szCs w:val="24"/>
        </w:rPr>
        <w:t>zgodnie z którą</w:t>
      </w:r>
      <w:proofErr w:type="gramEnd"/>
      <w:r w:rsidRPr="004B5460">
        <w:rPr>
          <w:rFonts w:asciiTheme="minorHAnsi" w:eastAsia="Trebuchet MS" w:hAnsiTheme="minorHAnsi"/>
          <w:sz w:val="24"/>
          <w:szCs w:val="24"/>
        </w:rPr>
        <w:t xml:space="preserve"> wielkość tego udziału poniżej 0,5 zaokrągla się w dół, a wielkość tego udziału 0,5 i powyżej zaokrągla się w górę.</w:t>
      </w:r>
    </w:p>
    <w:p w:rsidR="002A3631" w:rsidRPr="004B5460" w:rsidRDefault="002A3631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>Przykład:</w:t>
      </w:r>
    </w:p>
    <w:p w:rsidR="002A3631" w:rsidRPr="004B5460" w:rsidRDefault="002A3631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>Jeżeli Wykonawca użytkować będzie przy wykonaniu zamówienia ogółem:</w:t>
      </w:r>
    </w:p>
    <w:p w:rsidR="002A3631" w:rsidRPr="004B5460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>•</w:t>
      </w:r>
      <w:r w:rsidRPr="004B5460">
        <w:rPr>
          <w:rFonts w:asciiTheme="minorHAnsi" w:eastAsia="Trebuchet MS" w:hAnsiTheme="minorHAnsi"/>
          <w:sz w:val="24"/>
          <w:szCs w:val="24"/>
        </w:rPr>
        <w:tab/>
        <w:t>od 7 do 14</w:t>
      </w:r>
      <w:r w:rsidR="002A3631" w:rsidRPr="004B5460">
        <w:rPr>
          <w:rFonts w:asciiTheme="minorHAnsi" w:eastAsia="Trebuchet MS" w:hAnsiTheme="minorHAnsi"/>
          <w:sz w:val="24"/>
          <w:szCs w:val="24"/>
        </w:rPr>
        <w:t xml:space="preserve"> pojazdów to udział pojazdów elektrycznych lub pojazdów napędzanych gazem ziemnym wynosić musi 1 sztuka, </w:t>
      </w:r>
    </w:p>
    <w:p w:rsidR="002A3631" w:rsidRPr="004B5460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>•</w:t>
      </w:r>
      <w:r w:rsidRPr="004B5460">
        <w:rPr>
          <w:rFonts w:asciiTheme="minorHAnsi" w:eastAsia="Trebuchet MS" w:hAnsiTheme="minorHAnsi"/>
          <w:sz w:val="24"/>
          <w:szCs w:val="24"/>
        </w:rPr>
        <w:tab/>
        <w:t>od 15</w:t>
      </w:r>
      <w:r w:rsidR="002A3631" w:rsidRPr="004B5460">
        <w:rPr>
          <w:rFonts w:asciiTheme="minorHAnsi" w:eastAsia="Trebuchet MS" w:hAnsiTheme="minorHAnsi"/>
          <w:sz w:val="24"/>
          <w:szCs w:val="24"/>
        </w:rPr>
        <w:t xml:space="preserve"> do 20 pojazdów to udział pojazdów elektrycznych lub pojazdów napędzanych gazem ziemnym wynosić musi 2 sztuki.</w:t>
      </w:r>
    </w:p>
    <w:p w:rsidR="002A3631" w:rsidRDefault="002A3631" w:rsidP="002A3631">
      <w:pPr>
        <w:spacing w:line="360" w:lineRule="auto"/>
        <w:ind w:left="-6" w:hanging="11"/>
        <w:rPr>
          <w:rFonts w:asciiTheme="minorHAnsi" w:eastAsia="Trebuchet MS" w:hAnsiTheme="minorHAnsi"/>
          <w:color w:val="FF0000"/>
          <w:sz w:val="24"/>
          <w:szCs w:val="24"/>
        </w:rPr>
      </w:pP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związku z powyższym Wykonawca winien zapewnić udział pojazdów nisko i zeroemisyjnych we flocie pojazdów użytkowanych przy wykonywaniu przedmiotowego </w:t>
      </w:r>
      <w:r w:rsidRPr="002A3631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 xml:space="preserve">zamówienia. W razie </w:t>
      </w:r>
      <w:r w:rsidRPr="004B5460">
        <w:rPr>
          <w:rFonts w:asciiTheme="minorHAnsi" w:eastAsia="Trebuchet MS" w:hAnsiTheme="minorHAnsi"/>
          <w:color w:val="000000" w:themeColor="text1"/>
          <w:sz w:val="24"/>
          <w:szCs w:val="24"/>
        </w:rPr>
        <w:t>niezapewnienia przez Wykonawcę w/w obowiązku i wystąpienia z tego powodu skutków prawnych określonych przep</w:t>
      </w:r>
      <w:r w:rsidRPr="004B5460">
        <w:rPr>
          <w:rFonts w:asciiTheme="minorHAnsi" w:eastAsia="Trebuchet MS" w:hAnsiTheme="minorHAnsi"/>
          <w:sz w:val="24"/>
          <w:szCs w:val="24"/>
        </w:rPr>
        <w:t xml:space="preserve">isami prawa, </w:t>
      </w:r>
      <w:r w:rsidR="006C0FC9" w:rsidRPr="004B5460">
        <w:rPr>
          <w:rFonts w:asciiTheme="minorHAnsi" w:eastAsia="Trebuchet MS" w:hAnsiTheme="minorHAnsi"/>
          <w:sz w:val="24"/>
          <w:szCs w:val="24"/>
        </w:rPr>
        <w:t>Zamawiający odstępuje od umowy ze skutkiem natychmiastowym</w:t>
      </w:r>
      <w:r w:rsidRPr="004B5460">
        <w:rPr>
          <w:rFonts w:asciiTheme="minorHAnsi" w:eastAsia="Trebuchet MS" w:hAnsiTheme="minorHAnsi"/>
          <w:sz w:val="24"/>
          <w:szCs w:val="24"/>
        </w:rPr>
        <w:t xml:space="preserve">.  </w:t>
      </w:r>
    </w:p>
    <w:p w:rsidR="006C0FC9" w:rsidRPr="002A3631" w:rsidRDefault="006C0FC9" w:rsidP="002A3631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Zgodnie z pkt 6.3.2. SWZ w ramach warunku udziału w postępowaniu zamawiający wymaga: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uprawnień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prowadzenia określonej działalności gospodarczej lub zawodowej, o ile wynika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to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 odrębnych przepisów: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• jest wpisany do rejestru działalności regulowanej w zakresie odbierania odpadów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komunalnych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 właścicieli nieruchomości zgodnie z wymogami Ustawy z dn. 13 września</w:t>
      </w:r>
    </w:p>
    <w:p w:rsidR="00FA7144" w:rsidRPr="00FA7144" w:rsidRDefault="00FA7144" w:rsidP="004C4B1D">
      <w:pPr>
        <w:spacing w:line="360" w:lineRule="auto"/>
        <w:ind w:left="-6" w:hanging="11"/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1996 roku o utrzymaniu czystości i porządku w gminie (Dz. U.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r., poz. 2519 ze zm.),</w:t>
      </w:r>
      <w:r w:rsidRPr="00FA7144">
        <w:t xml:space="preserve"> 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• jest wpisany do Bazy danych o produktach i opakowaniach i gospodarce odpadami (BDO) w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zakresie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transportu odpadami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Prosimy o wyjaśnienie czy wpis ma obejmować kody odpadów objęte przedmiotem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zamówienia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czy wystarczy jakikolwiek wpis w zakresie kodów nieobjętych przedmiotem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zamówienia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6C0FC9" w:rsidRPr="006C0FC9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zapisy Rozdziału 6 ppkt 6.3.2.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specyfikacji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warunków zamówienia</w:t>
      </w:r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następujący sposób: </w:t>
      </w:r>
    </w:p>
    <w:p w:rsidR="006C0FC9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C0FC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6C0FC9" w:rsidRPr="006C0FC9" w:rsidRDefault="006C0FC9" w:rsidP="006C0FC9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60" w:line="360" w:lineRule="auto"/>
        <w:contextualSpacing/>
        <w:textAlignment w:val="baseline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6.3.2. </w:t>
      </w:r>
      <w:proofErr w:type="gramStart"/>
      <w:r w:rsidRPr="006C0FC9">
        <w:rPr>
          <w:rFonts w:asciiTheme="minorHAnsi" w:eastAsiaTheme="minorHAnsi" w:hAnsiTheme="minorHAnsi" w:cstheme="minorBidi"/>
          <w:sz w:val="24"/>
          <w:szCs w:val="24"/>
          <w:lang w:eastAsia="en-US"/>
        </w:rPr>
        <w:t>uprawnień</w:t>
      </w:r>
      <w:proofErr w:type="gramEnd"/>
      <w:r w:rsidRPr="006C0FC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 prowadzenia określonej działalności gospodarczej lub zawodowej, o ile wynika to z odrębnych przepisów: </w:t>
      </w:r>
    </w:p>
    <w:p w:rsidR="006C0FC9" w:rsidRPr="006C0FC9" w:rsidRDefault="006C0FC9" w:rsidP="006C0FC9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60" w:line="360" w:lineRule="auto"/>
        <w:ind w:left="-6" w:hanging="11"/>
        <w:contextualSpacing/>
        <w:textAlignment w:val="baseline"/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>jest</w:t>
      </w:r>
      <w:proofErr w:type="gramEnd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 xml:space="preserve"> wpisany do rejestru działalności regulowanej w zakresie odbierania odpadów komunalnych od właścicieli nieruchomości zgodnie z wymogami Ustawy z dn. 13 września 1996 roku o utrzymaniu czystości i porządku w gminie (Dz. U. </w:t>
      </w:r>
      <w:proofErr w:type="gramStart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>z</w:t>
      </w:r>
      <w:proofErr w:type="gramEnd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 xml:space="preserve"> 2022 r., poz. 2519 ze zm.),</w:t>
      </w:r>
    </w:p>
    <w:p w:rsidR="006C0FC9" w:rsidRPr="006C0FC9" w:rsidRDefault="006C0FC9" w:rsidP="006C0FC9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60" w:line="360" w:lineRule="auto"/>
        <w:ind w:left="-6" w:hanging="11"/>
        <w:contextualSpacing/>
        <w:textAlignment w:val="baseline"/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>jest</w:t>
      </w:r>
      <w:proofErr w:type="gramEnd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 xml:space="preserve"> wpisany do Bazy danych o produktach i opakowaniach i gospodarce odpadami (BDO) w zakresie podmiotów zbierających zużyty sprzęt elektryczny i elektroniczny;</w:t>
      </w:r>
    </w:p>
    <w:p w:rsidR="006C0FC9" w:rsidRDefault="006C0FC9" w:rsidP="006C0FC9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60" w:line="360" w:lineRule="auto"/>
        <w:ind w:left="-6" w:hanging="11"/>
        <w:contextualSpacing/>
        <w:textAlignment w:val="baseline"/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>jest</w:t>
      </w:r>
      <w:proofErr w:type="gramEnd"/>
      <w:r w:rsidRPr="006C0FC9"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  <w:t xml:space="preserve"> wpisany do Bazy danych o produktach i opakowaniach i gospodarce odpadami (BDO) w zakresie transportu odpadami</w:t>
      </w:r>
    </w:p>
    <w:p w:rsidR="006C0FC9" w:rsidRDefault="006C0FC9" w:rsidP="006C0FC9">
      <w:p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60" w:line="360" w:lineRule="auto"/>
        <w:contextualSpacing/>
        <w:textAlignment w:val="baseline"/>
        <w:rPr>
          <w:rFonts w:asciiTheme="minorHAnsi" w:eastAsiaTheme="minorHAnsi" w:hAnsiTheme="minorHAnsi" w:cstheme="minorBidi"/>
          <w:color w:val="000000"/>
          <w:sz w:val="24"/>
          <w:szCs w:val="24"/>
          <w:u w:color="000000"/>
        </w:rPr>
      </w:pPr>
    </w:p>
    <w:p w:rsidR="006C0FC9" w:rsidRPr="006C0FC9" w:rsidRDefault="006C0FC9" w:rsidP="006C0FC9">
      <w:p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60" w:line="360" w:lineRule="auto"/>
        <w:contextualSpacing/>
        <w:textAlignment w:val="baseline"/>
        <w:rPr>
          <w:rFonts w:asciiTheme="minorHAnsi" w:eastAsiaTheme="minorHAnsi" w:hAnsiTheme="minorHAnsi" w:cstheme="minorBidi"/>
          <w:b/>
          <w:color w:val="000000"/>
          <w:sz w:val="24"/>
          <w:szCs w:val="24"/>
          <w:u w:color="000000"/>
        </w:rPr>
      </w:pPr>
      <w:r w:rsidRPr="006C0FC9">
        <w:rPr>
          <w:rFonts w:asciiTheme="minorHAnsi" w:eastAsiaTheme="minorHAnsi" w:hAnsiTheme="minorHAnsi" w:cstheme="minorBidi"/>
          <w:b/>
          <w:color w:val="000000"/>
          <w:sz w:val="24"/>
          <w:szCs w:val="24"/>
          <w:u w:color="000000"/>
        </w:rPr>
        <w:t>JEST:</w:t>
      </w:r>
    </w:p>
    <w:p w:rsidR="006C0FC9" w:rsidRPr="006C0FC9" w:rsidRDefault="006C0FC9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 xml:space="preserve">6.3.2. </w:t>
      </w:r>
      <w:proofErr w:type="gramStart"/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>uprawnień</w:t>
      </w:r>
      <w:proofErr w:type="gramEnd"/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prowadzenia określonej działalności gospodarczej lub zawodowej, o ile wynika to z odrębnych przepisów:</w:t>
      </w:r>
    </w:p>
    <w:p w:rsidR="006C0FC9" w:rsidRPr="004B5460" w:rsidRDefault="006C0FC9" w:rsidP="006C0FC9">
      <w:pPr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• jest wpisany do </w:t>
      </w:r>
      <w:r w:rsidRPr="004B5460">
        <w:rPr>
          <w:rFonts w:asciiTheme="minorHAnsi" w:eastAsia="Trebuchet MS" w:hAnsiTheme="minorHAnsi"/>
          <w:sz w:val="24"/>
          <w:szCs w:val="24"/>
        </w:rPr>
        <w:t xml:space="preserve">rejestru działalności regulowanej w zakresie odbierania odpadów komunalnych (kody odpadów objęte przedmiotem zamówienia) od właścicieli nieruchomości zgodnie z wymogami Ustawy z dn. 13 września 1996 roku o utrzymaniu czystości i porządku w gminie (Dz. U. </w:t>
      </w:r>
      <w:proofErr w:type="gramStart"/>
      <w:r w:rsidRPr="004B5460">
        <w:rPr>
          <w:rFonts w:asciiTheme="minorHAnsi" w:eastAsia="Trebuchet MS" w:hAnsiTheme="minorHAnsi"/>
          <w:sz w:val="24"/>
          <w:szCs w:val="24"/>
        </w:rPr>
        <w:t>z</w:t>
      </w:r>
      <w:proofErr w:type="gramEnd"/>
      <w:r w:rsidRPr="004B5460">
        <w:rPr>
          <w:rFonts w:asciiTheme="minorHAnsi" w:eastAsia="Trebuchet MS" w:hAnsiTheme="minorHAnsi"/>
          <w:sz w:val="24"/>
          <w:szCs w:val="24"/>
        </w:rPr>
        <w:t xml:space="preserve"> 2022 r., poz. 2519 ze zm.),</w:t>
      </w:r>
    </w:p>
    <w:p w:rsidR="006C0FC9" w:rsidRPr="004B5460" w:rsidRDefault="006C0FC9" w:rsidP="006C0FC9">
      <w:pPr>
        <w:spacing w:line="360" w:lineRule="auto"/>
        <w:ind w:left="-6" w:hanging="11"/>
        <w:rPr>
          <w:rFonts w:asciiTheme="minorHAnsi" w:eastAsia="Trebuchet MS" w:hAnsiTheme="minorHAnsi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>• jest wpisany do Bazy danych o produktach i opakowaniach i gospodarce odpadami (BDO) w zakresie podmiotów zbierających zużyty sprzęt elektryczny i elektroniczny;</w:t>
      </w:r>
    </w:p>
    <w:p w:rsidR="006C0FC9" w:rsidRDefault="006C0FC9" w:rsidP="006C0FC9">
      <w:pPr>
        <w:spacing w:line="360" w:lineRule="auto"/>
        <w:ind w:left="-6" w:hanging="11"/>
        <w:rPr>
          <w:rFonts w:asciiTheme="minorHAnsi" w:eastAsia="Trebuchet MS" w:hAnsiTheme="minorHAnsi"/>
          <w:color w:val="FF0000"/>
          <w:sz w:val="24"/>
          <w:szCs w:val="24"/>
        </w:rPr>
      </w:pPr>
      <w:r w:rsidRPr="004B5460">
        <w:rPr>
          <w:rFonts w:asciiTheme="minorHAnsi" w:eastAsia="Trebuchet MS" w:hAnsiTheme="minorHAnsi"/>
          <w:sz w:val="24"/>
          <w:szCs w:val="24"/>
        </w:rPr>
        <w:t>• jest wpisany do Bazy danych o produktach i opakowaniach i gospodarce odpadami (BDO) w zakresie transportu odpadami (kody odpadów objęte przedmiotem zamówienia</w:t>
      </w:r>
      <w:r w:rsidRPr="006C0FC9">
        <w:rPr>
          <w:rFonts w:asciiTheme="minorHAnsi" w:eastAsia="Trebuchet MS" w:hAnsiTheme="minorHAnsi"/>
          <w:color w:val="FF0000"/>
          <w:sz w:val="24"/>
          <w:szCs w:val="24"/>
        </w:rPr>
        <w:t>)</w:t>
      </w:r>
    </w:p>
    <w:p w:rsidR="006C0FC9" w:rsidRDefault="006C0FC9" w:rsidP="006C0FC9">
      <w:pPr>
        <w:spacing w:line="360" w:lineRule="auto"/>
        <w:ind w:left="-6" w:hanging="11"/>
        <w:rPr>
          <w:rFonts w:asciiTheme="minorHAnsi" w:eastAsia="Trebuchet MS" w:hAnsiTheme="minorHAnsi"/>
          <w:color w:val="FF0000"/>
          <w:sz w:val="24"/>
          <w:szCs w:val="24"/>
        </w:rPr>
      </w:pPr>
    </w:p>
    <w:p w:rsidR="006C0FC9" w:rsidRPr="006C0FC9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zapisy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Rozdziału 7 ppkt 7.4.1.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specyfikacji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warunków zamówienia</w:t>
      </w:r>
      <w:r w:rsidRPr="006C0FC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następujący sposób: </w:t>
      </w:r>
    </w:p>
    <w:p w:rsidR="006C0FC9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C0FC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6C0FC9" w:rsidRPr="006C0FC9" w:rsidRDefault="006C0FC9" w:rsidP="006C0FC9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</w:pPr>
      <w:r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  <w:t xml:space="preserve">7.4.1. </w:t>
      </w:r>
      <w:proofErr w:type="gramStart"/>
      <w:r w:rsidRPr="006C0FC9"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  <w:t>spełnianie</w:t>
      </w:r>
      <w:proofErr w:type="gramEnd"/>
      <w:r w:rsidRPr="006C0FC9"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  <w:t xml:space="preserve"> warunków udziału w postępowaniu, wskazanych w pkt. 6.3.2. i 6.3.4. SWZ, tj.:</w:t>
      </w:r>
    </w:p>
    <w:p w:rsidR="006C0FC9" w:rsidRPr="006C0FC9" w:rsidRDefault="006C0FC9" w:rsidP="006C0FC9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>wpis</w:t>
      </w:r>
      <w:proofErr w:type="gramEnd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do rejestru działalności regulowanej w zakresie odbierania odpadów komunalnych od właścicieli nieruchomości zgodnie z wymogami Ustawy z dnia 13 września 1996 roku o utrzymaniu czystości i porządku w gminie;</w:t>
      </w:r>
    </w:p>
    <w:p w:rsidR="006C0FC9" w:rsidRPr="006C0FC9" w:rsidRDefault="006C0FC9" w:rsidP="006C0FC9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>zaświadczenie</w:t>
      </w:r>
      <w:proofErr w:type="gramEnd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o wpisie do Rejestru Bazy Danych o Odpadach (BDO) w zakresie objętym przedmiotem zamówienia prowadzonego przez Marszałka Województwa.</w:t>
      </w:r>
    </w:p>
    <w:p w:rsidR="006C0FC9" w:rsidRPr="006C0FC9" w:rsidRDefault="006C0FC9" w:rsidP="006C0FC9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>wykaz</w:t>
      </w:r>
      <w:proofErr w:type="gramEnd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narzędzi, wyposażenia zakładu lub urządzeń technicznych dostępnych Wykonawcy w celu wykonania zamówienia publicznego wraz z informacją o podstawie do dysponowania tymi zasobami (wg </w:t>
      </w:r>
      <w:r w:rsidRPr="006C0FC9">
        <w:rPr>
          <w:rFonts w:asciiTheme="minorHAnsi" w:hAnsiTheme="minorHAnsi" w:cs="Times New Roman"/>
          <w:b/>
          <w:color w:val="000000"/>
          <w:sz w:val="24"/>
          <w:szCs w:val="24"/>
          <w:u w:color="000000"/>
        </w:rPr>
        <w:t>Załącznika nr 4 do SWZ</w:t>
      </w:r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), </w:t>
      </w:r>
    </w:p>
    <w:p w:rsidR="006C0FC9" w:rsidRPr="006C0FC9" w:rsidRDefault="006C0FC9" w:rsidP="006C0FC9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>wykaz</w:t>
      </w:r>
      <w:proofErr w:type="gramEnd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wyposażenia zakładu tj. w zakresie dysponowania bazą magazynowo – transportową, dostępną Wykonawcy w celu wykonania zamówienia publicznego wraz z informacją o podstawie do dysponowania (wg </w:t>
      </w:r>
      <w:r w:rsidRPr="006C0FC9">
        <w:rPr>
          <w:rFonts w:asciiTheme="minorHAnsi" w:hAnsiTheme="minorHAnsi" w:cs="Times New Roman"/>
          <w:b/>
          <w:color w:val="000000"/>
          <w:sz w:val="24"/>
          <w:szCs w:val="24"/>
          <w:u w:color="000000"/>
        </w:rPr>
        <w:t>Załącznika nr 5 do SWZ</w:t>
      </w:r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). </w:t>
      </w:r>
    </w:p>
    <w:p w:rsidR="006C0FC9" w:rsidRDefault="006C0FC9" w:rsidP="006C0FC9">
      <w:pPr>
        <w:spacing w:line="360" w:lineRule="auto"/>
        <w:ind w:left="-6" w:hanging="11"/>
        <w:rPr>
          <w:rFonts w:asciiTheme="minorHAnsi" w:eastAsia="Trebuchet MS" w:hAnsiTheme="minorHAnsi"/>
          <w:color w:val="FF0000"/>
          <w:sz w:val="24"/>
          <w:szCs w:val="24"/>
        </w:rPr>
      </w:pPr>
    </w:p>
    <w:p w:rsidR="006C0FC9" w:rsidRDefault="006C0FC9" w:rsidP="006C0FC9">
      <w:pPr>
        <w:tabs>
          <w:tab w:val="left" w:pos="284"/>
        </w:tabs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JEST</w:t>
      </w:r>
      <w:r w:rsidRPr="006C0FC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: </w:t>
      </w:r>
    </w:p>
    <w:p w:rsidR="006C0FC9" w:rsidRPr="006C0FC9" w:rsidRDefault="006C0FC9" w:rsidP="006C0FC9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</w:pPr>
      <w:r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  <w:t xml:space="preserve">7.4.1. </w:t>
      </w:r>
      <w:proofErr w:type="gramStart"/>
      <w:r w:rsidRPr="006C0FC9"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  <w:t>spełnianie</w:t>
      </w:r>
      <w:proofErr w:type="gramEnd"/>
      <w:r w:rsidRPr="006C0FC9">
        <w:rPr>
          <w:rFonts w:asciiTheme="minorHAnsi" w:eastAsia="Arial Unicode MS" w:hAnsiTheme="minorHAnsi" w:cs="Times New Roman"/>
          <w:bCs/>
          <w:color w:val="000000"/>
          <w:sz w:val="24"/>
          <w:szCs w:val="24"/>
          <w:u w:color="000000"/>
        </w:rPr>
        <w:t xml:space="preserve"> warunków udziału w postępowaniu, wskazanych w pkt. 6.3.2. i 6.3.4. SWZ, tj.:</w:t>
      </w:r>
    </w:p>
    <w:p w:rsidR="003522D0" w:rsidRPr="004B5460" w:rsidRDefault="003522D0" w:rsidP="003522D0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sz w:val="24"/>
          <w:szCs w:val="24"/>
          <w:u w:color="000000"/>
        </w:rPr>
      </w:pPr>
      <w:proofErr w:type="gramStart"/>
      <w:r w:rsidRPr="003522D0">
        <w:rPr>
          <w:rFonts w:asciiTheme="minorHAnsi" w:hAnsiTheme="minorHAnsi" w:cs="Times New Roman"/>
          <w:color w:val="000000"/>
          <w:sz w:val="24"/>
          <w:szCs w:val="24"/>
          <w:u w:color="000000"/>
        </w:rPr>
        <w:lastRenderedPageBreak/>
        <w:t>wpis</w:t>
      </w:r>
      <w:proofErr w:type="gramEnd"/>
      <w:r w:rsidRPr="003522D0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do rejestru działalności regulowanej w zakresie odbierania odpadów komunalnych </w:t>
      </w:r>
      <w:r w:rsidRPr="004B5460">
        <w:rPr>
          <w:rFonts w:asciiTheme="minorHAnsi" w:hAnsiTheme="minorHAnsi" w:cs="Times New Roman"/>
          <w:sz w:val="24"/>
          <w:szCs w:val="24"/>
          <w:u w:color="000000"/>
        </w:rPr>
        <w:t>(kody odpadów objęte przedmiotem zamówienia) od właścicieli nieruchomości zgodnie z wymogami Ustawy z dnia 13 września 1996 roku o utrzymaniu czystości i porządku w gminie;</w:t>
      </w:r>
    </w:p>
    <w:p w:rsidR="003522D0" w:rsidRDefault="003522D0" w:rsidP="003522D0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4B5460">
        <w:rPr>
          <w:rFonts w:asciiTheme="minorHAnsi" w:hAnsiTheme="minorHAnsi" w:cs="Times New Roman"/>
          <w:sz w:val="24"/>
          <w:szCs w:val="24"/>
          <w:u w:color="000000"/>
        </w:rPr>
        <w:t>zaświadczenie</w:t>
      </w:r>
      <w:proofErr w:type="gramEnd"/>
      <w:r w:rsidRPr="004B5460">
        <w:rPr>
          <w:rFonts w:asciiTheme="minorHAnsi" w:hAnsiTheme="minorHAnsi" w:cs="Times New Roman"/>
          <w:sz w:val="24"/>
          <w:szCs w:val="24"/>
          <w:u w:color="000000"/>
        </w:rPr>
        <w:t xml:space="preserve"> o wpisie do Rejestru Bazy Danych o Odpadach (BDO) w zakresie kodów odpadów objętych </w:t>
      </w:r>
      <w:r w:rsidRPr="003522D0">
        <w:rPr>
          <w:rFonts w:asciiTheme="minorHAnsi" w:hAnsiTheme="minorHAnsi" w:cs="Times New Roman"/>
          <w:color w:val="000000"/>
          <w:sz w:val="24"/>
          <w:szCs w:val="24"/>
          <w:u w:color="000000"/>
        </w:rPr>
        <w:t>przedmiotem zamówienia prowadzonego przez Marszałka Województwa.</w:t>
      </w:r>
    </w:p>
    <w:p w:rsidR="006C0FC9" w:rsidRPr="006C0FC9" w:rsidRDefault="006C0FC9" w:rsidP="003522D0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>wykaz</w:t>
      </w:r>
      <w:proofErr w:type="gramEnd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narzędzi, wyposażenia zakładu lub urządzeń technicznych dostępnych Wykonawcy w celu wykonania zamówienia publicznego wraz z informacją o podstawie do dysponowania tymi zasobami (wg </w:t>
      </w:r>
      <w:r w:rsidRPr="006C0FC9">
        <w:rPr>
          <w:rFonts w:asciiTheme="minorHAnsi" w:hAnsiTheme="minorHAnsi" w:cs="Times New Roman"/>
          <w:b/>
          <w:color w:val="000000"/>
          <w:sz w:val="24"/>
          <w:szCs w:val="24"/>
          <w:u w:color="000000"/>
        </w:rPr>
        <w:t>Załącznika nr 4 do SWZ</w:t>
      </w:r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), </w:t>
      </w:r>
    </w:p>
    <w:p w:rsidR="006C0FC9" w:rsidRPr="006C0FC9" w:rsidRDefault="006C0FC9" w:rsidP="006C0FC9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  <w:color w:val="000000"/>
          <w:sz w:val="24"/>
          <w:szCs w:val="24"/>
          <w:u w:color="000000"/>
        </w:rPr>
      </w:pPr>
      <w:proofErr w:type="gramStart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>wykaz</w:t>
      </w:r>
      <w:proofErr w:type="gramEnd"/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 wyposażenia zakładu tj. w zakresie dysponowania bazą magazynowo – transportową, dostępną Wykonawcy w celu wykonania zamówienia publicznego wraz z informacją o podstawie do dysponowania (wg </w:t>
      </w:r>
      <w:r w:rsidRPr="006C0FC9">
        <w:rPr>
          <w:rFonts w:asciiTheme="minorHAnsi" w:hAnsiTheme="minorHAnsi" w:cs="Times New Roman"/>
          <w:b/>
          <w:color w:val="000000"/>
          <w:sz w:val="24"/>
          <w:szCs w:val="24"/>
          <w:u w:color="000000"/>
        </w:rPr>
        <w:t>Załącznika nr 5 do SWZ</w:t>
      </w:r>
      <w:r w:rsidRPr="006C0FC9">
        <w:rPr>
          <w:rFonts w:asciiTheme="minorHAnsi" w:hAnsiTheme="minorHAnsi" w:cs="Times New Roman"/>
          <w:color w:val="000000"/>
          <w:sz w:val="24"/>
          <w:szCs w:val="24"/>
          <w:u w:color="000000"/>
        </w:rPr>
        <w:t xml:space="preserve">). </w:t>
      </w:r>
    </w:p>
    <w:p w:rsidR="006C0FC9" w:rsidRPr="006C0FC9" w:rsidRDefault="006C0FC9" w:rsidP="006C0FC9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Zgodnie z pkt 16.2 lit a) SWZ: W dniu podpisania umowy Wykonawca dostarczy do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Zamawiającego: umowę lub umowy ubezpieczenia od odpowiedzialności cywilnej (OC)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tytułu prowadzonej działalności gospodarczej związanej z przedmiotem zamówienia na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kwotę ubezpieczenia </w:t>
      </w: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brutto co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najmniej wartości ofertowej. Wykonawca przedłoży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Zamawiającemu dokumenty potwierdzające zawarcie umowy ubezpieczenia w dniu zawarcia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umowy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. Wykonawca jest zobowiązany do terminowego opłacania składek z tytułu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ubezpieczenia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przez cały okres obowiązywania umowy i nie jest uprawniony do dokonywania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zmian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warunków ubezpieczenia bez uprzedniej zgody Zamawiającego wyrażonej w formie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pisemnej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 że dokumenty potwierdzające zawarcie umowy to również polisa,</w:t>
      </w:r>
    </w:p>
    <w:p w:rsidR="00FA7144" w:rsidRP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End"/>
      <w:r w:rsidRPr="00FA714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nie tylko sama umowa ubezpieczenia.</w:t>
      </w:r>
    </w:p>
    <w:p w:rsidR="00FA7144" w:rsidRPr="003409C8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FA7144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potwierdza, że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dopuszcza również przedstawienie przez Wykonawcę polisy. </w:t>
      </w:r>
    </w:p>
    <w:p w:rsidR="003522D0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Celem ujednolicenia zapisów specyfikacji warunków zamówienia z projektowanymi postanowieniami umowy w zakresie ubezpieczenia OC Wykonawcy Zamawiający zmienia zapisy rozdziału 16 pkt 16.2 specyfikacji warunków zamówienia w następujący sposób:</w:t>
      </w:r>
    </w:p>
    <w:p w:rsidR="003522D0" w:rsidRPr="003522D0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522D0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3522D0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3522D0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3522D0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3522D0" w:rsidRDefault="003522D0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3522D0" w:rsidRPr="003522D0" w:rsidRDefault="003522D0" w:rsidP="003522D0">
      <w:pPr>
        <w:tabs>
          <w:tab w:val="left" w:pos="567"/>
        </w:tabs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>16.2</w:t>
      </w:r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 dniu podpisania umowy Wykonawca dostarczy do Zamawiającego: </w:t>
      </w:r>
    </w:p>
    <w:p w:rsidR="003522D0" w:rsidRDefault="003522D0" w:rsidP="003522D0">
      <w:pPr>
        <w:tabs>
          <w:tab w:val="left" w:pos="567"/>
        </w:tabs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Start"/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umowę</w:t>
      </w:r>
      <w:proofErr w:type="gramEnd"/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lub umowy ubezpieczenia od odpowiedzialności cywilnej (OC) z tytułu prowadzonej działalności gospodarczej związanej z przedmiotem zamówienia na kwotę ubezpieczenia </w:t>
      </w:r>
      <w:r w:rsidRPr="004452F0">
        <w:rPr>
          <w:rFonts w:asciiTheme="minorHAnsi" w:eastAsia="Trebuchet MS" w:hAnsiTheme="minorHAnsi"/>
          <w:color w:val="000000" w:themeColor="text1"/>
          <w:sz w:val="24"/>
          <w:szCs w:val="24"/>
        </w:rPr>
        <w:t>brutto co najmniej wartości ofertowej</w:t>
      </w:r>
      <w:r w:rsidRPr="003522D0">
        <w:rPr>
          <w:rFonts w:asciiTheme="minorHAnsi" w:eastAsia="Trebuchet MS" w:hAnsiTheme="minorHAnsi"/>
          <w:color w:val="000000" w:themeColor="text1"/>
          <w:sz w:val="24"/>
          <w:szCs w:val="24"/>
        </w:rPr>
        <w:t>. Wykonawca przedłoży Zamawiającemu dokumenty potwierdzające zawarcie umowy ubezpieczenia w dniu zawarcia umowy. Wykonawca jest zobowiązany do terminowego opłacania składek z tytułu ubezpieczenia przez cały okres obowiązywania umowy i nie jest uprawniony do dokonywania zmian warunków ubezpieczenia bez uprzedniej zgody Zamawiającego wyrażonej w formie pisemnej.</w:t>
      </w:r>
    </w:p>
    <w:p w:rsidR="003522D0" w:rsidRDefault="003522D0" w:rsidP="003522D0">
      <w:pPr>
        <w:tabs>
          <w:tab w:val="left" w:pos="567"/>
        </w:tabs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522D0" w:rsidRPr="003522D0" w:rsidRDefault="003522D0" w:rsidP="003522D0">
      <w:pPr>
        <w:tabs>
          <w:tab w:val="left" w:pos="567"/>
        </w:tabs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522D0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JEST:</w:t>
      </w:r>
    </w:p>
    <w:p w:rsidR="004452F0" w:rsidRPr="004452F0" w:rsidRDefault="004452F0" w:rsidP="004452F0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452F0">
        <w:rPr>
          <w:rFonts w:asciiTheme="minorHAnsi" w:eastAsia="Trebuchet MS" w:hAnsiTheme="minorHAnsi"/>
          <w:color w:val="000000" w:themeColor="text1"/>
          <w:sz w:val="24"/>
          <w:szCs w:val="24"/>
        </w:rPr>
        <w:t>16.2</w:t>
      </w:r>
      <w:r w:rsidRPr="004452F0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 dniu podpisania umowy Wykonawca dostarczy do Zamawiającego: </w:t>
      </w:r>
    </w:p>
    <w:p w:rsidR="003522D0" w:rsidRDefault="004452F0" w:rsidP="004452F0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a) </w:t>
      </w:r>
      <w:r w:rsidRPr="004452F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umowę lub umowy ubezpieczenia od odpowiedzialności cywilnej (OC) z tytułu prowadzonej </w:t>
      </w:r>
      <w:r w:rsidRPr="004B5460">
        <w:rPr>
          <w:rFonts w:asciiTheme="minorHAnsi" w:eastAsia="Trebuchet MS" w:hAnsiTheme="minorHAnsi"/>
          <w:sz w:val="24"/>
          <w:szCs w:val="24"/>
        </w:rPr>
        <w:t xml:space="preserve">działalności gospodarczej związanej z przedmiotem zamówienia na kwotę ubezpieczenia </w:t>
      </w:r>
      <w:proofErr w:type="gramStart"/>
      <w:r w:rsidRPr="004B5460">
        <w:rPr>
          <w:rFonts w:asciiTheme="minorHAnsi" w:eastAsia="Trebuchet MS" w:hAnsiTheme="minorHAnsi"/>
          <w:sz w:val="24"/>
          <w:szCs w:val="24"/>
        </w:rPr>
        <w:t>brutto co</w:t>
      </w:r>
      <w:proofErr w:type="gramEnd"/>
      <w:r w:rsidRPr="004B5460">
        <w:rPr>
          <w:rFonts w:asciiTheme="minorHAnsi" w:eastAsia="Trebuchet MS" w:hAnsiTheme="minorHAnsi"/>
          <w:sz w:val="24"/>
          <w:szCs w:val="24"/>
        </w:rPr>
        <w:t xml:space="preserve"> najmniej wartości umownej, o której mowa w </w:t>
      </w:r>
      <w:r w:rsidRPr="004B5460">
        <w:rPr>
          <w:rFonts w:eastAsia="Times New Roman"/>
          <w:bCs/>
          <w:sz w:val="24"/>
          <w:szCs w:val="24"/>
        </w:rPr>
        <w:t>§3 ust. 1 projektowanych postanowień umowy</w:t>
      </w:r>
      <w:r w:rsidRPr="004B5460">
        <w:rPr>
          <w:rFonts w:asciiTheme="minorHAnsi" w:eastAsia="Trebuchet MS" w:hAnsiTheme="minorHAnsi"/>
          <w:sz w:val="24"/>
          <w:szCs w:val="24"/>
        </w:rPr>
        <w:t xml:space="preserve">. </w:t>
      </w:r>
      <w:r w:rsidRPr="004452F0">
        <w:rPr>
          <w:rFonts w:asciiTheme="minorHAnsi" w:eastAsia="Trebuchet MS" w:hAnsiTheme="minorHAnsi"/>
          <w:color w:val="000000" w:themeColor="text1"/>
          <w:sz w:val="24"/>
          <w:szCs w:val="24"/>
        </w:rPr>
        <w:t>Wykonawca przedłoży Zamawiającemu dokumenty potwierdzające zawarcie umowy ubezpieczenia w dniu zawarcia umowy. Wykonawca jest zobowiązany do terminowego opłacania składek z tytułu ubezpieczenia przez cały okres obowiązywania umowy i nie jest uprawniony do dokonywania zmian warunków ubezpieczenia bez uprzedniej zgody Zamawiającego wyrażonej w formie pisemnej.</w:t>
      </w:r>
    </w:p>
    <w:p w:rsidR="004452F0" w:rsidRPr="004452F0" w:rsidRDefault="004452F0" w:rsidP="004452F0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6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punktem 1.5.6 OPZ: (…) Wykonawca zobowiązany jest ponadto dostarczyć worki do odbioru selektywnie zebranych odpadów komunalnych na wezwanie Zamawiającego. </w:t>
      </w:r>
    </w:p>
    <w:p w:rsidR="00FA7144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art. 99 ustawy PZP: Przedmiot zamówienia opisuje się w sposób jednoznaczny i wyczerpujący, za pomocą dostatecznie dokładnych i zrozumiałych określeń, uwzględniając wymagania i okoliczności mogące mieć wpływ na sporządzenie oferty. W związku z tym prosimy o określenie maksymalnej liczby 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worków jakie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musi dostarczyć wykonawca na wezwanie. Brak takiej informacji nie pozwala na prawidłowe skalkulowanie oferty.</w:t>
      </w:r>
    </w:p>
    <w:p w:rsidR="00FA7144" w:rsidRDefault="00FA7144" w:rsidP="004C4B1D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FA714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4452F0" w:rsidRDefault="004452F0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452F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informuje, że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maksymalna miesięczna ilość worków dostarczana do Zamawiającego to 600 szt. </w:t>
      </w:r>
    </w:p>
    <w:p w:rsidR="00E0640A" w:rsidRPr="004452F0" w:rsidRDefault="00E0640A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545D7" w:rsidRPr="003409C8" w:rsidRDefault="001545D7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7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pkt 1.6.10 i 1.6.11 OPZ 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1.6.10 Zamawiający zastrzega sobie możliwość zwrócenia się do wykonawcy o zmiany harmonogramu w zakresie tras i terminów odbioru odpadów komunalnych, w uzasadnionych przypadkach. 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1.6.11 Wykonawca zobowiązany jest wprowadzić zmiany w harmonogramie w terminie ustalonym przez Strony i przekazać Zamawiającemu zmieniony harmonogram do akceptacji, a po zaakceptowaniu niezwłocznie dostarczyć harmonogram właścicielom nieruchomości w formie papierowej. 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wyjaśnienie o jakie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uzasadnione przypadki chodzi. Obowiązek zmiany harmonogramu na żądanie zamawiającego w znaczący sposób wpływa na organizację spełnienia świadczenia, w tym na koszty. Dlatego istotne jest precyzyjne 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określenie w jakich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okolicznościach może dojść do zmiany harmonogramu.</w:t>
      </w:r>
    </w:p>
    <w:p w:rsidR="008D3871" w:rsidRDefault="008D3871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72558A" w:rsidRDefault="0072558A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72558A"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zmiana harmonogramu może nastąpić w przypadku zmiany przepisów prawa niemożliwych do przewidzenia na dzień ogłoszenia zamówienia, bądź w sytuacji np. długotrwałego remontu drogi.</w:t>
      </w:r>
    </w:p>
    <w:p w:rsidR="0072558A" w:rsidRPr="0072558A" w:rsidRDefault="0072558A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B75C0" w:rsidRDefault="00DB75C0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8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punktem 1.7 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ppkt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2) lit a) OPZ: 2) Wykonawca jest zobowiązany do prowadzenia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i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przekazywania Zamawiającemu dokumentacji związanej z działalnością objętą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zamówieniem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, tj.: a) Kart przekazania odpadów sporządzonych zgodnie z ustawą z dnia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14 grudnia 2012 r. o odpadach (</w:t>
      </w:r>
      <w:proofErr w:type="spell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Dz. U. 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 poz. 699, 1250, 1726, 2127, 2722, z 2023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r. poz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. 295, 877). Kartę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przekazania odpadów sporządza Wykonawca, który przekazuje odpady, w odpowiedniej liczbie egzemplarzy. Zamawiający wymaga, aby kopia karty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przekazania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odpadów została przekazana Zamawiającemu.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Obecnie dokumentacja ta wystawiana jest w systemie BDO, do której zgodnie z Ustawą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o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odpadach, organ gminny ma dostęp. Przekazywanie kopii kart przekazania odpadów w inny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sposób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jest bezzasadne.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 że przekazanie kart przekazania odpadów odbywa się w sposób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określony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</w:t>
      </w:r>
      <w:proofErr w:type="spell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przepisac</w:t>
      </w:r>
      <w:proofErr w:type="spell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poprzez BDO.</w:t>
      </w:r>
    </w:p>
    <w:p w:rsidR="008D3871" w:rsidRDefault="008D3871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013B24" w:rsidRPr="00013B24" w:rsidRDefault="00E0640A" w:rsidP="00013B24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13B2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="00013B24">
        <w:rPr>
          <w:rFonts w:asciiTheme="minorHAnsi" w:eastAsia="Trebuchet MS" w:hAnsiTheme="minorHAnsi"/>
          <w:color w:val="000000" w:themeColor="text1"/>
          <w:sz w:val="24"/>
          <w:szCs w:val="24"/>
        </w:rPr>
        <w:t>potwierdza</w:t>
      </w:r>
      <w:r w:rsidR="00013B24" w:rsidRPr="00013B24">
        <w:rPr>
          <w:rFonts w:asciiTheme="minorHAnsi" w:eastAsia="Trebuchet MS" w:hAnsiTheme="minorHAnsi"/>
          <w:color w:val="000000" w:themeColor="text1"/>
          <w:sz w:val="24"/>
          <w:szCs w:val="24"/>
        </w:rPr>
        <w:t>, że przekazanie kart przekazania odpadów odbywa się w sposób</w:t>
      </w:r>
    </w:p>
    <w:p w:rsidR="00E0640A" w:rsidRDefault="00013B24" w:rsidP="00013B24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013B24">
        <w:rPr>
          <w:rFonts w:asciiTheme="minorHAnsi" w:eastAsia="Trebuchet MS" w:hAnsiTheme="minorHAnsi"/>
          <w:color w:val="000000" w:themeColor="text1"/>
          <w:sz w:val="24"/>
          <w:szCs w:val="24"/>
        </w:rPr>
        <w:t>określony</w:t>
      </w:r>
      <w:proofErr w:type="gramEnd"/>
      <w:r w:rsidRPr="00013B2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przepisac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h</w:t>
      </w:r>
      <w:r w:rsidRPr="00013B2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poprzez </w:t>
      </w:r>
      <w:r w:rsidR="000A17B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system </w:t>
      </w:r>
      <w:r w:rsidRPr="00013B24">
        <w:rPr>
          <w:rFonts w:asciiTheme="minorHAnsi" w:eastAsia="Trebuchet MS" w:hAnsiTheme="minorHAnsi"/>
          <w:color w:val="000000" w:themeColor="text1"/>
          <w:sz w:val="24"/>
          <w:szCs w:val="24"/>
        </w:rPr>
        <w:t>BDO</w:t>
      </w:r>
      <w:r w:rsidR="000A17B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0A17B4" w:rsidRPr="00013B24" w:rsidRDefault="000A17B4" w:rsidP="00013B24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B75C0" w:rsidRDefault="00DB75C0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9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§ 2 ust. 2 Projektowanych postanowień umownych: Strony umowy ustalają, że termin wykonania umowy może ulec wydłużeniu, jeżeli Zamawiający skorzysta z prawa opcji, a więc jeżeli zaistnieją potrzeby odbioru, transportu i zagospodarowania większej ilości odpadów, a także w przypadkach, kiedy wymagane będzie utrzymanie charakteru ciągłego usługi, a upłynie termin realizacji zamówienia podstawowego. </w:t>
      </w:r>
    </w:p>
    <w:p w:rsidR="001545D7" w:rsidRPr="001545D7" w:rsidRDefault="001545D7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</w:t>
      </w:r>
      <w:proofErr w:type="gramStart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>wyjaśnienie jakie</w:t>
      </w:r>
      <w:proofErr w:type="gramEnd"/>
      <w:r w:rsidRPr="001545D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inne okoliczności (poza zastosowaniem prawa opcji) stanowić będą podstawę do wydłużenia terminu wykonywania umowy? Umowa w sprawie zamówienia zawierana jest na czas oznaczony, a określenie maksymalnego czasu jej trwania powinno być ściśle określone.</w:t>
      </w:r>
    </w:p>
    <w:p w:rsidR="00D42D09" w:rsidRDefault="00D42D09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4C4B1D" w:rsidRDefault="007D03CA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zapisami zawartymi w projektowanych postanowieniach umowy (Załącznik nr 8 do SWZ). 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10</w:t>
      </w:r>
    </w:p>
    <w:p w:rsidR="004C4B1D" w:rsidRPr="004C4B1D" w:rsidRDefault="004C4B1D" w:rsidP="007D03CA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 § 3a Projektowanych postanowień umownych zamawiający określił zasady waloryzacji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wynagrodzenia. Klauzula waloryzacyjne jest pozorna i nieprecyzyjna.</w:t>
      </w:r>
    </w:p>
    <w:p w:rsidR="004C4B1D" w:rsidRPr="004C4B1D" w:rsidRDefault="004C4B1D" w:rsidP="007D03CA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Jak przy tym podkreśla UZP w Komentarzu do ustawy PZP: „(…) wprowadzenie do Pzp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obowiązku uwzględniania klauzul waloryzacyjnych w umowach w sprawie zamówień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publicznych, których przedmiotem są roboty budowlane lub usługi, zawartych na okres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dłuższy niż 12 miesięcy, ma na celu przywrócenie stanu równowagi ekonomicznej między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stronami umowy, zachwianej przez określone zdarzenia, które mogą mieć miejsce w trakcie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jej realizacji. Choć zachwianie równowagi ekonomicznej między stronami umowę może mieć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różne podłoże, to w ar. 439 Pzp ustawodawca zdecydował się na uwzględnienie zdarzeń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wpływających na konieczność zmiany wynagrodzenia. Za takie zdarzenia uznano zmianę cen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materiałów lub kosztów związanych z realizacją zamówienia oraz osiągnięcie przez te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zmiany określonego poziomu. Intencją ustawodawcy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było zatem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nałożenia na zamawiających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obowiązku wprowadzenia do długoterminowych umów (dłuższych niż 12 miesięcy)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mechanizmów umownych, które uwzględniałyby wpływ czynników zewnętrznych (zmiana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cen materiałów lub kosztów), na rentowność realizowanego zamówienia. Uwzględniając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powyższe, regulacja art. 439 Pzp zmierza do zachowania równowagi kontraktowej między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zamawiającym a wykonawcą, zobowiązując do rozłożenia między stronami ryzyk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gospodarczych będących następstwem zmian cen materiałów lub kosztów związanych z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realizacją zamówienia i zachodzących w toku jego realizacji. (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zob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. red. H. Nowak, M.</w:t>
      </w:r>
    </w:p>
    <w:p w:rsidR="004C4B1D" w:rsidRPr="004C4B1D" w:rsidRDefault="004C4B1D" w:rsidP="007D03CA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Winiarz, Prawo zamówień publicznych. Komentarz. Warszawa 2021). Celem prawidłowo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sformułowanej klauzuli waloryzacyjnej jest płynne dostosowanie umowy do zmieniającej się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rzeczywistości gospodarczej. W związku z tym, wypełnienie wymogów ustawy PZP w tym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zakresie nie polega na formalnym określeniu wszystkich wymaganych elementów klauzuli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waloryzacyjnej, tylko na takim ich określeniu, które daje rzeczywistą możliwość reagowania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na zmieniające się warunki ekonomiczne i gospodarcze w celu przywrócenia równowagi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ekonomicznej stron.</w:t>
      </w:r>
    </w:p>
    <w:p w:rsidR="004C4B1D" w:rsidRPr="004C4B1D" w:rsidRDefault="004C4B1D" w:rsidP="007D03CA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Jak czytamy w uzasadnieniu do projektu ustawy PZP: Wskazane obligatoryjne elementy</w:t>
      </w:r>
      <w:r w:rsidR="007D03C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klauzuli waloryzacyjnej mają pomóc zamawiającym przy konstruowaniu skutecznych i jasnych postanowień umownych. Zamawiający wprowadzając do umowy odpowiednią klauzulę ma pozostawioną swobodę określenia jej elementów, mając na względzie w szczególności: specyfikę zamówienia (np. w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zakresie jakie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elementy materiałów i kosztów są kluczowe i w praktyce podlegają dużym wahaniom), dostępność wiarygodnych i aktualizowanych podstaw ustalenia zmiany ceny (np. odpowiednie wskaźniki Prezesa GUS), planowane możliwości finansowe zamawiającego co do przewidywanych zmian wynagrodzenia.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Wykonawca wskazuje, że przewidziana przez Zamawiającego klauzula jest pozorna i nie spełnia w żadnej mierze wymogów ustawowych.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pierwszej kolejności należy stwierdzić, że przewidywana przez zamawiającego możliwość wnioskowania o zmianę wynagrodzenia wykonawcy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dopiero jeśli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średnioroczny wskaźnik zmiany cen towarów konsumpcyjnych ogłoszony przez GUS osiągnie 10%. Mając na uwadze realia rynkowa określenie wskaźnika na poziomie 10% czyni klauzulę zmiany wynagrodzenia pozorną. Jest faktem notoryjnym, że od pewnego czasu mamy do czynienia ze znacznym wzrostem cen, na rynku. Tak ustalony poziom waloryzacji czyni ją w praktyce iluzoryczną, ponieważ nie daje wykonawcy szans na zmianę wynagrodzenia stosownie do rzeczywistej zmiany cen materiałów lub kosztów związanych z realizacją zamówienia. Podobnie wypowiedziała się KIO w wyroku z dnia 02.03.2022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., KIO 440/22.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Wnosimy o zmianę ww. postanowień poprzez określenie wskaźnika na poziomie 5%.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także o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wskazanie w jaki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sposób zostanie przeprowadzona waloryzacja? Jakie konkretnie wskaźniki ma brać pod uwagę wykonawca w ramach spełnienia wymogów opisanych w § 3a ust. 4 PPU?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2431D5" w:rsidRDefault="007D03CA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informuje, że </w:t>
      </w:r>
      <w:r w:rsidR="00C224B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sposób przeprowadzenia waloryzacji jest opisany w §3a projektowanych postanowień umowy (Załącznik nr 8 do SWZ), w którym wskazany jest </w:t>
      </w:r>
      <w:r w:rsidR="00090EA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miesięczny </w:t>
      </w:r>
      <w:r w:rsidR="00C224BD">
        <w:rPr>
          <w:rFonts w:asciiTheme="minorHAnsi" w:eastAsia="Trebuchet MS" w:hAnsiTheme="minorHAnsi"/>
          <w:color w:val="000000" w:themeColor="text1"/>
          <w:sz w:val="24"/>
          <w:szCs w:val="24"/>
        </w:rPr>
        <w:t>wskaźnik cen towarów i usług konsumpcyjnych</w:t>
      </w:r>
      <w:r w:rsidR="00090EA1" w:rsidRPr="00090EA1">
        <w:t xml:space="preserve"> </w:t>
      </w:r>
      <w:r w:rsidR="00090EA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ogłaszany </w:t>
      </w:r>
      <w:r w:rsidR="00090EA1"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w komunikacie Prezesa Głównego Urzędu Statystycznego</w:t>
      </w:r>
      <w:r w:rsidR="00C224B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do którego należy się odnieść przy zastosowaniu klauzul waloryzacyjnych. </w:t>
      </w:r>
      <w:r w:rsidR="002431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Dla obliczeń waloryzacji należy przyjąć wartości miesięczne ww. wskaźnika. Sposób obliczenia zmiany wynagrodzenia jest opisany w </w:t>
      </w:r>
      <w:r w:rsidR="002431D5" w:rsidRPr="002431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§3a </w:t>
      </w:r>
      <w:r w:rsidR="002431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ust. 6 </w:t>
      </w:r>
      <w:r w:rsidR="002431D5" w:rsidRPr="002431D5">
        <w:rPr>
          <w:rFonts w:asciiTheme="minorHAnsi" w:eastAsia="Trebuchet MS" w:hAnsiTheme="minorHAnsi"/>
          <w:color w:val="000000" w:themeColor="text1"/>
          <w:sz w:val="24"/>
          <w:szCs w:val="24"/>
        </w:rPr>
        <w:t>projektowanych postanowień umowy</w:t>
      </w:r>
      <w:r w:rsidR="002431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243674" w:rsidRDefault="002431D5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Należy podkreślić, że Zamawiający zgo</w:t>
      </w:r>
      <w:r w:rsidR="00090EA1">
        <w:rPr>
          <w:rFonts w:asciiTheme="minorHAnsi" w:eastAsia="Trebuchet MS" w:hAnsiTheme="minorHAnsi"/>
          <w:color w:val="000000" w:themeColor="text1"/>
          <w:sz w:val="24"/>
          <w:szCs w:val="24"/>
        </w:rPr>
        <w:t>dnie z art. 439 ustawy z dnia 1</w:t>
      </w:r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 września 2019 r. Prawo zamówień publicznych w brzmieniu nadanym mocą ustawy z 7 października 2022 r. o zmianie niektórych ustaw w celu uproszczenia procedur administracyjnych dla obywateli i przedsiębiorców (Dz.U. </w:t>
      </w:r>
      <w:proofErr w:type="gramStart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 r. poz. 2185) określa w projektowanych postanowieniach umowy klauzulę waloryzacyjną, która spełnia wszystkie w</w:t>
      </w:r>
      <w:r w:rsidR="00243674"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ymog</w:t>
      </w:r>
      <w:r w:rsidR="00243674">
        <w:rPr>
          <w:rFonts w:asciiTheme="minorHAnsi" w:eastAsia="Trebuchet MS" w:hAnsiTheme="minorHAnsi"/>
          <w:color w:val="000000" w:themeColor="text1"/>
          <w:sz w:val="24"/>
          <w:szCs w:val="24"/>
        </w:rPr>
        <w:t>i ustawowe, w szczególności:</w:t>
      </w:r>
    </w:p>
    <w:p w:rsidR="00243674" w:rsidRDefault="002431D5" w:rsidP="002431D5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zawiera</w:t>
      </w:r>
      <w:proofErr w:type="gramEnd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poziom zmiany ceny materiałów lub kosztów, uprawniający strony umowy do żądania zmiany wynagrodzenia oraz początkowy termin ustalenia zmiany wynagrodzenia;</w:t>
      </w:r>
    </w:p>
    <w:p w:rsidR="00243674" w:rsidRDefault="002431D5" w:rsidP="00830F81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sposób</w:t>
      </w:r>
      <w:proofErr w:type="gramEnd"/>
      <w:r w:rsidR="00243674"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ustalania zmiany wynagrodzenia</w:t>
      </w:r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 użyciem odesłania do wskaźnika zmiany ceny materiałów lub kosztów, w szczególności wskaźnika ogłaszanego w komunikacie Prezesa</w:t>
      </w:r>
      <w:r w:rsid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Głównego Urzędu Statystycznego;</w:t>
      </w:r>
    </w:p>
    <w:p w:rsidR="004C4B1D" w:rsidRDefault="002431D5" w:rsidP="00830F81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sposób</w:t>
      </w:r>
      <w:proofErr w:type="gramEnd"/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określenia wpływu zmiany ceny materiałów lub kosztów na koszt wykonania zamówienia oraz określenie okresów, w których może następować zmiana wynagrodzenia wykonawcy;</w:t>
      </w:r>
      <w:r w:rsidRPr="002431D5">
        <w:t xml:space="preserve"> </w:t>
      </w:r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maksymalną wartość zmiany wynagrodzenia, jaką dopuszcza </w:t>
      </w:r>
      <w:r w:rsidR="00243674"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Pr="00243674">
        <w:rPr>
          <w:rFonts w:asciiTheme="minorHAnsi" w:eastAsia="Trebuchet MS" w:hAnsiTheme="minorHAnsi"/>
          <w:color w:val="000000" w:themeColor="text1"/>
          <w:sz w:val="24"/>
          <w:szCs w:val="24"/>
        </w:rPr>
        <w:t>w efekcie zastosowania postanowień o zasadach wprowadzania zmian wysokości wynagrodzenia.</w:t>
      </w:r>
    </w:p>
    <w:p w:rsidR="00243674" w:rsidRDefault="002564B4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Waloryzacja wynagrodzenia </w:t>
      </w:r>
      <w:r w:rsidRPr="002564B4">
        <w:rPr>
          <w:rFonts w:asciiTheme="minorHAnsi" w:eastAsia="Trebuchet MS" w:hAnsiTheme="minorHAnsi"/>
          <w:color w:val="000000" w:themeColor="text1"/>
          <w:sz w:val="24"/>
          <w:szCs w:val="24"/>
        </w:rPr>
        <w:t>dokonywana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będzie</w:t>
      </w:r>
      <w:r w:rsidRPr="002564B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 uwzględnieniem kolejnych miesięcznych zmian wskaźnika w stosunku do wskaźnika, jaki był ogłoszony dla początkowego terminu ustalenia zmiany wynagrodzenia, jak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im jest miesiąc składania ofert, a nie, jak wskazuje Wykonawca, </w:t>
      </w:r>
      <w:r w:rsidR="00182FF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średniorocznego wskaźnika zmiany cen towarów konsumpcyjnych. </w:t>
      </w:r>
    </w:p>
    <w:p w:rsid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wyraża zgodę na zmianę wysokości wskaźnika. </w:t>
      </w:r>
    </w:p>
    <w:p w:rsid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Wobec tego zmienia się zapisy §3a ust. 1 projektowanych postanowień umowy w następujący sposób: </w:t>
      </w:r>
    </w:p>
    <w:p w:rsidR="00CA697A" w:rsidRP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CA697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>1.</w:t>
      </w:r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 </w:t>
      </w:r>
      <w:proofErr w:type="gramStart"/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>przypadku gdy</w:t>
      </w:r>
      <w:proofErr w:type="gramEnd"/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ceny materiałów lub inne koszty związane z realizacją przedmiotu umowy, ulegną zmianie o co najmniej 10% (obliczony według zasad określonych w ust. 6) w stosunku do tych cen i kosztów z miesiąca złożenia oferty w odniesieniu do odpowiedniego komunikatu Prezesa GUS o wskaźniku cen towarów i usług konsumpcyjnych, wynagrodzenie należne Wykonawcy ulegnie odpowiedniej zmianie (zwiększeniu lub zmniejszeniu).</w:t>
      </w:r>
    </w:p>
    <w:p w:rsid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CA697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CA697A" w:rsidRDefault="00CA697A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>1.</w:t>
      </w:r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 </w:t>
      </w:r>
      <w:proofErr w:type="gramStart"/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>przypadku gdy</w:t>
      </w:r>
      <w:proofErr w:type="gramEnd"/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ceny materiałów lub inne koszty związane z realizacją przedmiotu umowy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ulegną zmianie o co </w:t>
      </w:r>
      <w:r w:rsidRPr="00F26206">
        <w:rPr>
          <w:rFonts w:asciiTheme="minorHAnsi" w:eastAsia="Trebuchet MS" w:hAnsiTheme="minorHAnsi"/>
          <w:color w:val="auto"/>
          <w:sz w:val="24"/>
          <w:szCs w:val="24"/>
        </w:rPr>
        <w:t xml:space="preserve">najmniej 5% (obliczony </w:t>
      </w:r>
      <w:r w:rsidRPr="00CA697A">
        <w:rPr>
          <w:rFonts w:asciiTheme="minorHAnsi" w:eastAsia="Trebuchet MS" w:hAnsiTheme="minorHAnsi"/>
          <w:color w:val="000000" w:themeColor="text1"/>
          <w:sz w:val="24"/>
          <w:szCs w:val="24"/>
        </w:rPr>
        <w:t>według zasad określonych w ust. 6) w stosunku do tych cen i kosztów z miesiąca złożenia oferty w odniesieniu do odpowiedniego komunikatu Prezesa GUS o wskaźniku cen towarów i usług konsumpcyjnych, wynagrodzenie należne Wykonawcy ulegnie odpowiedniej zmianie (zwiększeniu lub zmniejszeniu).</w:t>
      </w:r>
    </w:p>
    <w:p w:rsidR="00AC1128" w:rsidRDefault="00AC1128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C1128" w:rsidRPr="00CA697A" w:rsidRDefault="00AC1128" w:rsidP="00243674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przekazuje zmieniony Załącznik nr 8 do SWZ – projektowane postanowienia umowy – zmiana 15.06.2023 </w:t>
      </w:r>
      <w:proofErr w:type="gramStart"/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11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§ 9 Umowy Zamawiający przewidział szczegółowy sposób postępowania w przypadku umów podwykonawstwa, z określeniem szczegółowych konsekwencji w braku akceptacji podwykonawcy oraz bardzo wysokich kar umownych. Wykonawca przypomina, że podstawa taka istnieje tylko w przypadku robót budowlanych, a nie w przypadku zamówienia na usługi. </w:t>
      </w:r>
    </w:p>
    <w:p w:rsid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wykreślenie ww. postanowień, przypominając, że KIO za niedopuszczalne uznaje ingerowanie przez zamawiającego w zakresie wykraczającym poza gwarancyjną rolę zamawiającego za zapłatę podwykonawcy (dalszemu podwykonawcy) wynagrodzenia za wykonane roboty budowlane. Skoro ustawodawca w normie prawnej określił zakres ingerencji w umowę, to należy uznać, że jest to regulacja zupełna w zakresie istotnym, a zatem norma ta nie może podlegać wykładni rozszerzającej (wyrok KIO z dnia 15.06.2015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KIO 1139/15). Zamawiający nie ma ustawowych uprawnień, aby w ograniczać wykonawcę w kontraktach ze swoimi podwykonawcami i dalszymi podwykonawcami w korzystaniu z zasady swobody umów, w zakresie szerszym niż to wynika wprost z przepisów ustawy PZP (Wyrok KIO z dnia 08.11.2016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., KIO 1978/16).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4E2968" w:rsidRPr="00AC1128" w:rsidRDefault="004E2968" w:rsidP="004E296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C1128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podtrzymuje zapis projektowanych postanowień umowy.</w:t>
      </w:r>
    </w:p>
    <w:p w:rsidR="004C4B1D" w:rsidRDefault="004E2968" w:rsidP="004E296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C112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Ponadto Zamawiający informuje, że zapisy zawarte w § 9 projektowanych postanowień umowy (Załącznik nr </w:t>
      </w:r>
      <w:r w:rsidR="00AC1128">
        <w:rPr>
          <w:rFonts w:asciiTheme="minorHAnsi" w:eastAsia="Trebuchet MS" w:hAnsiTheme="minorHAnsi"/>
          <w:color w:val="000000" w:themeColor="text1"/>
          <w:sz w:val="24"/>
          <w:szCs w:val="24"/>
        </w:rPr>
        <w:t>8</w:t>
      </w:r>
      <w:r w:rsidRPr="00AC112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SWZ) zostały oparte na art. 462 i art. 463 Pzp oraz art. 353¹ KC. Zgodnie z publikacją Prawo Zamówień Publicznych Komentarz pod redakcją Huberta Nowaka, Mateusza Winiarza w zakresie art. 463 Pzp autorzy wskazują „(…) Ustawodawca nie przyznaje zamawiającemu bezpośrednich ustawowych narzędzi kwestionowania innych umów o podwykonawstwo w granicach art. 463 Pzp, choć nie zakazuje zamawiającemu wprowadzenia takich narzędzi na zasadach swobody kontraktowej w umowie o zamówienie publiczne, np. w postaci kar umownych adekwatnych do rozmiaru uchybienia. Sankcje za nieprzestrzeganie art. 463 Pzp może ponieść wyłącznie wykonawca, gdyż zamawiającego z podwykonawcą nie łączy stosunek obligacyjny. Czyni to wykonawcę podmiotem szczególnie zainteresowanym prawidłową treścią umów o podwykonawstwo”.</w:t>
      </w:r>
    </w:p>
    <w:p w:rsidR="004C4B1D" w:rsidRDefault="002849B1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Zdaniem Zamawiającego</w:t>
      </w:r>
      <w:r w:rsidR="00A06DC7">
        <w:rPr>
          <w:rFonts w:asciiTheme="minorHAnsi" w:eastAsia="Trebuchet MS" w:hAnsiTheme="minorHAnsi"/>
          <w:color w:val="000000" w:themeColor="text1"/>
          <w:sz w:val="24"/>
          <w:szCs w:val="24"/>
        </w:rPr>
        <w:t>, kary dotyczące podwykonawców są adekwatne do przewinienia</w:t>
      </w:r>
      <w:r w:rsidR="0074630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zwłaszcza, że </w:t>
      </w:r>
      <w:r w:rsidR="000D72CF">
        <w:rPr>
          <w:rFonts w:asciiTheme="minorHAnsi" w:eastAsia="Trebuchet MS" w:hAnsiTheme="minorHAnsi"/>
          <w:color w:val="000000" w:themeColor="text1"/>
          <w:sz w:val="24"/>
          <w:szCs w:val="24"/>
        </w:rPr>
        <w:t>wśród</w:t>
      </w:r>
      <w:r w:rsidR="0074630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trzech punktów dotyczących kar podwykonawców dwa punkty odnoszą się do wysokości kary liczonej od wynagrodzenia brutto podwykonawcy.</w:t>
      </w:r>
    </w:p>
    <w:p w:rsidR="0074630C" w:rsidRDefault="0074630C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12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§ 10 ust. 4 Umowy: W przypadkach niewykonania lub nienależytego wykonania umowy przez Wykonawcę, Zamawiający może w terminie 5 dni roboczych po pisemnym uprzedzeniu WYKONAWCY, przejąć sam prowadzenie usług określonych niniejszą umową lub powierzyć je innemu podmiotowi, a kosztami tych usług obciąży WYKONAWCĘ. Realizacja powyższego uprawnienia przez Zamawiającego nie wymaga zgody sądu.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Prosimy o doprecyzowanie okoliczności uzasadniających przejęcie prowadzenia usług lub wykonanie zastępcze. Zamawiający posługuje się nieostrym pojęciem nienależytego wykonywania umowy. Czy należy przez o rozumieć niewykonywanie lub nienależyte</w:t>
      </w:r>
    </w:p>
    <w:p w:rsid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wykonywanie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stopniu zagrażającym terminowemu odbiorowi odpadów?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4C4B1D" w:rsidRDefault="004E2968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D72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posługuje się pojęciami dotyczącymi niewykonania bądź nienależytego wykonania umowy biorąc pod uwagę przedmiot zamówienia oraz zakres obowiązków przyjętych na siebie przez Wykonawcę w ramach niniejszej umowy. Dookreślanie pojęcia „nienależyte wykonanie umowy” wprowadza ewentualny katalog obejmujący bądź w części nieobejmujący pewnych zachowań, tudzież wywiązania się z obowiązków i wprowadza dodatkowy element ocenny.  </w:t>
      </w:r>
      <w:proofErr w:type="gramStart"/>
      <w:r w:rsidRPr="000D72CF">
        <w:rPr>
          <w:rFonts w:asciiTheme="minorHAnsi" w:eastAsia="Trebuchet MS" w:hAnsiTheme="minorHAnsi"/>
          <w:color w:val="000000" w:themeColor="text1"/>
          <w:sz w:val="24"/>
          <w:szCs w:val="24"/>
        </w:rPr>
        <w:t>Wykonawca jako</w:t>
      </w:r>
      <w:proofErr w:type="gramEnd"/>
      <w:r w:rsidRPr="000D72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podmiot profesjonalnie świadczący usługi zna zakres swoich obowiązków wynikających z zawarcia umowy w niniejszym postępowaniu, zatem każdy przejaw jego działania czy też brak działania skutkującej brakiem realizacji przedmiotu umowy należy uznać jako niewykonanie umowy lub nienależyte wykonanie umowy.</w:t>
      </w:r>
    </w:p>
    <w:p w:rsidR="004E2968" w:rsidRDefault="004E2968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13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 § 11 Projektowanych postanowień umownych zamawiający przewidział warunku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umownego odstąpienia od umowy przez wykonawcę nie zastrzegając jednak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terminu co</w:t>
      </w:r>
      <w:proofErr w:type="gramEnd"/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czynnik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te postanowienia bezskutecznymi. Jednocześnie w postanowieniach określających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warunki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odstąpienia przez zamawiającego termin taki określono. Prosimy o doprecyzowanie,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że uprawnienie to wykonawca może wykonać w terminie 30 dni od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dnia kiedy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powziął</w:t>
      </w:r>
    </w:p>
    <w:p w:rsid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informacje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zaistnienie okoliczności uzasadniających odstąpienie.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E32F0D" w:rsidRDefault="00E32F0D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32F0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informuje, że </w:t>
      </w:r>
      <w:r w:rsidR="008807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zmienia zapisy §11 projektowanych postanowień umowy (Załącznik nr 8 do SWZ) poprzez dodanie ustępu 4 o treści: </w:t>
      </w:r>
    </w:p>
    <w:p w:rsidR="00880763" w:rsidRDefault="00880763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4. Prawo Wykonawcy do odstąpienia od umowy możliwe jest w terminie 30 dni od </w:t>
      </w:r>
      <w:r w:rsidR="00B15D0F">
        <w:rPr>
          <w:rFonts w:asciiTheme="minorHAnsi" w:eastAsia="Trebuchet MS" w:hAnsiTheme="minorHAnsi"/>
          <w:color w:val="000000" w:themeColor="text1"/>
          <w:sz w:val="24"/>
          <w:szCs w:val="24"/>
        </w:rPr>
        <w:t>upływu terminów, o których mowa w ust. 1 lit. a lub lit. b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B15D0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bądź powzięcia informacji od Zamawiającego, o sytuacji, o której mowa w ust. 1 lit. c. </w:t>
      </w:r>
    </w:p>
    <w:p w:rsidR="00B15D0F" w:rsidRDefault="00B15D0F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B15D0F" w:rsidRPr="00CA697A" w:rsidRDefault="00B15D0F" w:rsidP="00B15D0F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przekazuje zmieniony Załącznik nr 8 do SWZ – projektowane postanowienia umowy – zmiana 15.06.2023 </w:t>
      </w:r>
      <w:proofErr w:type="gramStart"/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E32F0D" w:rsidRDefault="00E32F0D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14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§ 13 ust 1 Umowy: Wykonawca jest zobowiązany do zapłaty na rzecz Zamawiającego kar umownych: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1) w wysokości 200 zł za każdy przypadek nieodebrania lub odebrania odpadów z nieruchomości objętej obowiązkiem odbierania odpadów w terminie niezgodnym z harmonogramem odbierania odpadów, o którym mowa w SWZ; kara będzie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naliczana jako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iloczyn kwoty 200 zł oraz ilości nieruchomości, od których nie odebrano odpadów lub odebrano odpady w terminie niezgodnym z harmonogramem;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B1A47">
        <w:rPr>
          <w:rFonts w:asciiTheme="minorHAnsi" w:eastAsia="Trebuchet MS" w:hAnsiTheme="minorHAnsi"/>
          <w:color w:val="000000" w:themeColor="text1"/>
          <w:sz w:val="24"/>
          <w:szCs w:val="24"/>
        </w:rPr>
        <w:t>Wykonawca wnosi o dostosowanie kary umownej na wypadek zwłoki, jak wynika z art. 433 ustawy PZP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2) w wysokości 1 000 zł za niedostarczenie właścicielom nieruchomości harmonogramu zaakceptowanego przez Zamawiającego. Za równoznaczne z niedostarczeniem harmonogramu uważa się sytuację, w której spośród 50 wybranych przez Zamawiającego właścicieli nieruchomości więcej niż 25 osób oświadczyło, iż nie otrzymało od Wykonawcy harmonogramu.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Niedostarczenie harmonogramu odbioru odpadów nie zawsze wynika z winy wykonawcy, co więcej wykonawca nie ma wpływu na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to jakie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oświadczenia w zakresie dostarczenia harmonogramu złożą mieszkańcy i czy będą one zgodne z prawdą. W związku z tym wnosimy o usunięcie § 13 ust 1 pkt 2) Umowy.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6) W wysokości 1 000 zł za spowodowanie przerwy w świadczeniu usług odbioru odpadów komunalnych z przyczyn zależnych od Wykonawcy, za każdy rozpoczęty dzień przerwy 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wyjaśnienie co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należy rozumieć pod pojęciem przerwy? </w:t>
      </w:r>
    </w:p>
    <w:p w:rsid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>Prosimy także o wykreślenie kar dotyczących postępowania z umowami z podwykonawcami, które są właściwe dla umów na roboty budowlane, gdzie zamawiający jest solidarnie odpowiedzialny za wypłacenie wynagrodzenia wykonawcom.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D52E4E" w:rsidRDefault="007012AE" w:rsidP="00B15D0F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Ad. 1: </w:t>
      </w:r>
      <w:r w:rsidR="00D52E4E"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zmienia zapisy §13 ust. 1 pkt 1</w:t>
      </w:r>
      <w:r w:rsidR="00D52E4E" w:rsidRPr="00D52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projektowanych postanowień umowy (Załącznik nr 8 do SWZ) </w:t>
      </w:r>
      <w:r w:rsidR="00D52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następujący sposób: </w:t>
      </w:r>
    </w:p>
    <w:p w:rsidR="00D52E4E" w:rsidRPr="00D52E4E" w:rsidRDefault="00D52E4E" w:rsidP="00B15D0F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D52E4E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BYŁO:</w:t>
      </w:r>
    </w:p>
    <w:p w:rsidR="007012AE" w:rsidRPr="00F240D7" w:rsidRDefault="007012AE" w:rsidP="007012AE">
      <w:pPr>
        <w:numPr>
          <w:ilvl w:val="1"/>
          <w:numId w:val="18"/>
        </w:numPr>
        <w:tabs>
          <w:tab w:val="num" w:pos="426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200 zł za każdy przypadek nieodebrania lub odebrania odpadów z nieruchomości objętej obowiązkiem odbierania odpadów w terminie niezgodnym z harmonogramem odbie</w:t>
      </w:r>
      <w:r>
        <w:rPr>
          <w:rFonts w:cstheme="minorHAnsi"/>
          <w:sz w:val="24"/>
          <w:szCs w:val="24"/>
        </w:rPr>
        <w:t xml:space="preserve">rania odpadów, o którym mowa w </w:t>
      </w:r>
      <w:r w:rsidRPr="00F240D7">
        <w:rPr>
          <w:rFonts w:cstheme="minorHAnsi"/>
          <w:sz w:val="24"/>
          <w:szCs w:val="24"/>
        </w:rPr>
        <w:t xml:space="preserve">SWZ; kara będzie </w:t>
      </w:r>
      <w:proofErr w:type="gramStart"/>
      <w:r w:rsidRPr="00F240D7">
        <w:rPr>
          <w:rFonts w:cstheme="minorHAnsi"/>
          <w:sz w:val="24"/>
          <w:szCs w:val="24"/>
        </w:rPr>
        <w:t>naliczana jako</w:t>
      </w:r>
      <w:proofErr w:type="gramEnd"/>
      <w:r w:rsidRPr="00F240D7">
        <w:rPr>
          <w:rFonts w:cstheme="minorHAnsi"/>
          <w:sz w:val="24"/>
          <w:szCs w:val="24"/>
        </w:rPr>
        <w:t xml:space="preserve"> iloczyn kwoty 200 zł oraz ilości nieruchomości, od których nie odebrano odpadów lub odebrano odpady w terminie niezgodnym z harmonogramem.</w:t>
      </w:r>
    </w:p>
    <w:p w:rsidR="00D52E4E" w:rsidRDefault="00D52E4E" w:rsidP="00B15D0F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012AE" w:rsidRDefault="00D52E4E" w:rsidP="00B15D0F">
      <w:pPr>
        <w:spacing w:line="360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D52E4E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D52E4E" w:rsidRPr="007012AE" w:rsidRDefault="007012AE" w:rsidP="00B15D0F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>1)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wysokości 200 zł za każdy przypadek nieodebrania lub odebrania odpadów z nieruchomości objętej obowiązkiem odbierania odpadów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 przyczyn leżących po stronie Wykonawcy </w:t>
      </w:r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terminie niezgodnym z harmonogramem odbierania odpadów, o którym mowa w SWZ; kara będzie </w:t>
      </w:r>
      <w:proofErr w:type="gramStart"/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>naliczana jako</w:t>
      </w:r>
      <w:proofErr w:type="gramEnd"/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iloczyn kwoty 200 zł oraz ilości nieruchomości, od których nie odebrano odpadów lub odebrano odpady w terminie niezgodnym z harmonogramem.</w:t>
      </w:r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br/>
        <w:t xml:space="preserve">Zamawiający przekazuje zmieniony Załącznik nr 8 do SWZ – projektowane postanowienia umowy – zmiana 15.06.2023 </w:t>
      </w:r>
      <w:proofErr w:type="gramStart"/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7012A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4C4B1D" w:rsidRPr="00B15D0F" w:rsidRDefault="007012AE" w:rsidP="004D4C77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Ad. 2: </w:t>
      </w:r>
      <w:r w:rsidR="007A3C73"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>Wykonawca ma obowiązek realizować przedmiot umowy zgodnie z harmonogramem zaakceptowanym przez Zamawiającego, jedynie Zamawiającemu w uzasadnionych przypadkach przysługuje możliwość zwrócenia się do Wykonawcy o zmianę harmonogramu w zakresie tras i terminów.</w:t>
      </w:r>
      <w:r w:rsidR="004D4C7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7A3C73"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podtrzymuje zapis projektowanych postanowień umowy. </w:t>
      </w:r>
      <w:proofErr w:type="gramStart"/>
      <w:r w:rsidR="007A3C73"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>Wykonawca jako</w:t>
      </w:r>
      <w:proofErr w:type="gramEnd"/>
      <w:r w:rsidR="007A3C73"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podmiot profesjonalnie świadczący usługi ma obowiązek tak zorganizować plan pracy, żeby wypełnić wszystkie obowiązki wynikające z umowy, w związku z tym Zamawiający nie dopuszcza sytuacji, kiedy Wykonawca nie dostarczy właścicielom nieruchomości harmonogramu lub dostarczy wybiórczo do niektórych właścicieli nieruchomości.</w:t>
      </w:r>
    </w:p>
    <w:p w:rsidR="007A3C73" w:rsidRDefault="007012AE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Ad. 6: </w:t>
      </w:r>
      <w:r w:rsidR="007A3C73"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>Przerwa oznacza każde zaprzestanie świadczenia usługi z winy Wykonawcy, który po zawarciu umowy przyjmuje na siebie obowiązek świadczenia usług zgodnie z ustalonym harmonogramem. Brak realizacji tego obowiązku uważane jest za przerwę w świadczeniu usług odbioru odpadów komunalnych z przyczyn zależnych od Wykonawcy.</w:t>
      </w:r>
    </w:p>
    <w:p w:rsidR="004C4B1D" w:rsidRDefault="00B15D0F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odpowiedzi na pytanie w zakresie kar dotyczących postępowania z umowami z podwykonawcami </w:t>
      </w:r>
      <w:r w:rsidR="007A3C73" w:rsidRPr="00B15D0F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podtrzymuje zapis projektowanych postanowień umowy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7A3C73" w:rsidRDefault="007A3C73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D4C77" w:rsidRDefault="004D4C77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15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§ 15 ust. 2 Projektowanych postanowień umownych: 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określonego w ust. 2 umowa wygasa na mocy prawa na podstawie art. 76 ustawy o elektromobilności i paliwach alternatywnych. Zapisy odnośnie kary umownej za rozwiązanie umowy z winy Wykonawcy stosuje się odpowiednio. </w:t>
      </w:r>
    </w:p>
    <w:p w:rsidR="004A3E4E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Zgodnie z przytoczonym przepisem art. 76: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1. Umowy zawarte przez naczelny i centralny organ administracji państwowej z podmiotem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zapewniającym obsługę gospodarczą w zakresie transportu wygasają z dniem 31 grudnia 2021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r., jeżeli nie zapewniają wykorzystania pojazdów elektrycznych na poziomie określonym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 art. 68 ust. 1.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2. Umowy zawarte przez jednostki samorządu terytorialnego na wykonywanie zadań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publicznych, o których mowa w art. 35 ust. 2 pkt 1, z wyłączeniem publicznego transportu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zbiorowego, wygasają z dniem 31 grudnia 2025 r., jeżeli nie zapewniają wykorzystania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pojazdów elektrycznych lub pojazdów napędzanych gazem ziemnym na poziomie określonym</w:t>
      </w:r>
      <w:r w:rsidR="004A3E4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 art. 35 ust. 2.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wyjaśnienie w jaki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sposób należy przepis ten odnosić do umowy zawartej na okres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12 miesięcy począwszy od 01.08.2023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4C4B1D" w:rsidRDefault="00B15D0F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zapisy §15 ust. 2 projektowanych postanowień umowy w następujący sposób: </w:t>
      </w:r>
    </w:p>
    <w:p w:rsidR="00B15D0F" w:rsidRDefault="00B15D0F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B15D0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BYŁO:</w:t>
      </w:r>
    </w:p>
    <w:p w:rsidR="00B15D0F" w:rsidRDefault="00830F81" w:rsidP="00830F81">
      <w:pPr>
        <w:tabs>
          <w:tab w:val="left" w:pos="284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30F81">
        <w:rPr>
          <w:rFonts w:asciiTheme="minorHAnsi" w:eastAsia="Trebuchet MS" w:hAnsiTheme="minorHAnsi"/>
          <w:color w:val="000000" w:themeColor="text1"/>
          <w:sz w:val="24"/>
          <w:szCs w:val="24"/>
        </w:rPr>
        <w:t>2.</w:t>
      </w:r>
      <w:r w:rsidRPr="00830F81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określonego w ust. 2 umowa wygasa na mocy prawa na podstawie art. 76 ustawy o elektromobilności i paliwach alternatywnych. Zapisy odnośnie kary umownej za rozwiązanie umowy z winy Wykonawcy stosuje się odpowiednio.</w:t>
      </w:r>
    </w:p>
    <w:p w:rsidR="00830F81" w:rsidRDefault="00830F81" w:rsidP="00830F81">
      <w:pPr>
        <w:tabs>
          <w:tab w:val="left" w:pos="284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830F81" w:rsidRPr="00830F81" w:rsidRDefault="00830F81" w:rsidP="00830F81">
      <w:pPr>
        <w:tabs>
          <w:tab w:val="left" w:pos="284"/>
        </w:tabs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830F8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830F81" w:rsidRPr="00830F81" w:rsidRDefault="00830F81" w:rsidP="00830F81">
      <w:pPr>
        <w:tabs>
          <w:tab w:val="left" w:pos="284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30F81">
        <w:rPr>
          <w:rFonts w:asciiTheme="minorHAnsi" w:eastAsia="Trebuchet MS" w:hAnsiTheme="minorHAnsi"/>
          <w:color w:val="000000" w:themeColor="text1"/>
          <w:sz w:val="24"/>
          <w:szCs w:val="24"/>
        </w:rPr>
        <w:t>2.</w:t>
      </w:r>
      <w:r w:rsidRPr="00830F81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 ma prawo wypowiedzieć umowę ze skutkiem natychmiastowym</w:t>
      </w:r>
      <w:r w:rsidRPr="00830F8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Zapisy odnośnie kary umownej za rozwiązanie umowy z winy Wykonawcy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oraz zapisy zawarte w §10 </w:t>
      </w:r>
      <w:r w:rsidRPr="00830F81">
        <w:rPr>
          <w:rFonts w:asciiTheme="minorHAnsi" w:eastAsia="Trebuchet MS" w:hAnsiTheme="minorHAnsi"/>
          <w:color w:val="000000" w:themeColor="text1"/>
          <w:sz w:val="24"/>
          <w:szCs w:val="24"/>
        </w:rPr>
        <w:t>stosuje się odpowiednio.</w:t>
      </w:r>
    </w:p>
    <w:p w:rsidR="00830F81" w:rsidRDefault="00830F81" w:rsidP="00830F81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830F81" w:rsidRPr="00CA697A" w:rsidRDefault="00830F81" w:rsidP="00830F81">
      <w:pPr>
        <w:pStyle w:val="Akapitzlist"/>
        <w:tabs>
          <w:tab w:val="left" w:pos="284"/>
        </w:tabs>
        <w:spacing w:after="0" w:line="360" w:lineRule="auto"/>
        <w:ind w:left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przekazuje zmieniony Załącznik nr 8 do SWZ – projektowane postanowienia umowy – zmiana 15.06.2023 </w:t>
      </w:r>
      <w:proofErr w:type="gramStart"/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090EA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B15D0F" w:rsidRPr="00B15D0F" w:rsidRDefault="00B15D0F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16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Zwracamy się z prośbą o wyjaśnienie przyczyn znaczącego wzrostu tonażu odpadów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przewidzianych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odbioru w ramach realizacji zamówienia w porównaniu do lat ubiegłych.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Obecnie Zamawiający przewiduje odbiór szacunkowej ilości odpadów w ilości do 6 160 Mg.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Czy w gminie Sulejów nastąpił wzrost liczby mieszkańców lub nieruchomości na rzecz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których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świadczona będzie usługa?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Jednocześnie, w Załączniku nr 1 do SWZ, </w:t>
      </w:r>
      <w:proofErr w:type="spell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roz</w:t>
      </w:r>
      <w:proofErr w:type="spell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. I, pkt. 1.2.5, Zamawiający wskazuje, że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wykonawca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odbierze opcjonalnie: nie więcej niż 1000 Mg - w skali całej umowy. Prosimy</w:t>
      </w:r>
    </w:p>
    <w:p w:rsid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</w:t>
      </w: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doprecyzowanie jakiego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rodzaju odpady są uwzględnione w opcjonalnym tonażu 1000 Mg?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4A3E4E" w:rsidRDefault="00830F81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określił w Opisie przedmiotu zamówienia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szacunkową ilość odpadów: 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5 160 Mg (uwz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ględniająca okres 12 miesięcy) oraz 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opcjonalnie: nie więcej niż 1000 Mg - w skali całej umowy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Ponadto w Formularzu ofertowym (załącznik nr 2 do SWZ) przy 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Kryterium: Cena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określił, że Wykonawca ma obowiązek wpisać w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artość brutto całej oferty (obejmujące zamówienie podstawowe i opcjonalne)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  <w:r w:rsidR="004A3E4E" w:rsidRPr="004A3E4E">
        <w:rPr>
          <w:rFonts w:asciiTheme="minorHAnsi" w:eastAsia="Trebuchet MS" w:hAnsiTheme="minorHAnsi"/>
          <w:color w:val="000000" w:themeColor="text1"/>
          <w:sz w:val="24"/>
          <w:szCs w:val="24"/>
        </w:rPr>
        <w:t>Prawo opcji jest uprawnieniem Zamawiającego, z którego może, ale nie musi skorzystać.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508B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Określenie ilości Mg w opcji jest swego rodzaju zabezpieczeniem </w:t>
      </w:r>
      <w:r w:rsidR="006342FC">
        <w:rPr>
          <w:rFonts w:asciiTheme="minorHAnsi" w:eastAsia="Trebuchet MS" w:hAnsiTheme="minorHAnsi"/>
          <w:color w:val="000000" w:themeColor="text1"/>
          <w:sz w:val="24"/>
          <w:szCs w:val="24"/>
        </w:rPr>
        <w:t>w ostatnim miesiącu trwania umowy, kiedy Zamawiający nie jest w stanie określić, czy zostanie przekroczona szacunkowa ilość odpadów</w:t>
      </w:r>
      <w:r w:rsidR="005D080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lub przedłużającą się proced</w:t>
      </w:r>
      <w:r w:rsidR="004D4C77">
        <w:rPr>
          <w:rFonts w:asciiTheme="minorHAnsi" w:eastAsia="Trebuchet MS" w:hAnsiTheme="minorHAnsi"/>
          <w:color w:val="000000" w:themeColor="text1"/>
          <w:sz w:val="24"/>
          <w:szCs w:val="24"/>
        </w:rPr>
        <w:t>urą przetargową uniemożliwi</w:t>
      </w:r>
      <w:r w:rsidR="005D080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wyłonienie nowego wykonawcy przed upływem terminu umowy zawartej w niniejszym postępowaniu. </w:t>
      </w:r>
      <w:r w:rsidR="00482576">
        <w:rPr>
          <w:rFonts w:asciiTheme="minorHAnsi" w:eastAsia="Trebuchet MS" w:hAnsiTheme="minorHAnsi"/>
          <w:color w:val="000000" w:themeColor="text1"/>
          <w:sz w:val="24"/>
          <w:szCs w:val="24"/>
        </w:rPr>
        <w:t>Ilość odpadów wytwarzana na terenie Gminy Sulejów ni</w:t>
      </w:r>
      <w:r w:rsidR="004D4C77">
        <w:rPr>
          <w:rFonts w:asciiTheme="minorHAnsi" w:eastAsia="Trebuchet MS" w:hAnsiTheme="minorHAnsi"/>
          <w:color w:val="000000" w:themeColor="text1"/>
          <w:sz w:val="24"/>
          <w:szCs w:val="24"/>
        </w:rPr>
        <w:t>e jest zależna od Zamawiającego</w:t>
      </w:r>
      <w:bookmarkStart w:id="0" w:name="_GoBack"/>
      <w:bookmarkEnd w:id="0"/>
      <w:r w:rsidR="0048257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Zamawiający nie jest w stanie przewidzieć faktycznej ilości odbioru odpadów w okresie trwania całej umowy. Zamawiający informuje, że w ramach opcjonalnego tonażu będą zbierane wszystkie odpady zmieszane i odpady selektywnie zbierane za wyjątkiem odpadów wielkogabarytowych. </w:t>
      </w:r>
    </w:p>
    <w:p w:rsidR="004A3E4E" w:rsidRDefault="004A3E4E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17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Zwracamy się z prośbą o wyjaśnienie, czy Zamawiający przewiduje w ramach realizacji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zamówienia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odbiór odpadów o kodzie 20 01 23* - Urządzenia zawierające freony, który nie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został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wskazany przez Zamawiającego w Załączniku nr 1 do SWZ - Opis Przedmiotu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Zamówienia?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F97B64" w:rsidRDefault="00F97B64" w:rsidP="00F97B64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 potwierdza, ż</w:t>
      </w:r>
      <w:r w:rsidRPr="00F97B6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 w ramach realizacji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niniejszej</w:t>
      </w:r>
      <w:r w:rsidRPr="00F97B6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umowy przewiduje odbiór odpadów o kodzie 20 01 23* - Urządzenia zawierające freony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F97B64" w:rsidRPr="00F97B64" w:rsidRDefault="00F97B64" w:rsidP="00F97B64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18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Zwracam się o wyjaśnienie treści SWZ w poniższym zakresie: proszę o podanie liczby</w:t>
      </w:r>
    </w:p>
    <w:p w:rsidR="004C4B1D" w:rsidRPr="004C4B1D" w:rsidRDefault="004C4B1D" w:rsidP="004C4B1D">
      <w:pPr>
        <w:spacing w:line="360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kontenerów</w:t>
      </w:r>
      <w:proofErr w:type="gramEnd"/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zbierania odpadów komunalnych, w jaką należy wyposażyć wyznaczone miejsca przy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4C4B1D">
        <w:rPr>
          <w:rFonts w:asciiTheme="minorHAnsi" w:eastAsia="Trebuchet MS" w:hAnsiTheme="minorHAnsi"/>
          <w:color w:val="000000" w:themeColor="text1"/>
          <w:sz w:val="24"/>
          <w:szCs w:val="24"/>
        </w:rPr>
        <w:t>zabudowie wielorodzinnej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4C4B1D" w:rsidRDefault="004C4B1D" w:rsidP="004C4B1D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F97B64" w:rsidRPr="004B5460" w:rsidRDefault="00F97B64" w:rsidP="004C4B1D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B546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Przewidywana ilość wszystkich kontenerów do zbierania odpadów przy </w:t>
      </w:r>
      <w:r w:rsidR="004B5460" w:rsidRPr="004B5460">
        <w:rPr>
          <w:rFonts w:asciiTheme="minorHAnsi" w:eastAsia="Trebuchet MS" w:hAnsiTheme="minorHAnsi"/>
          <w:color w:val="000000" w:themeColor="text1"/>
          <w:sz w:val="24"/>
          <w:szCs w:val="24"/>
        </w:rPr>
        <w:t>zabudowie</w:t>
      </w:r>
      <w:r w:rsidRPr="004B546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wielorodzinnej to 36 sztuk. </w:t>
      </w:r>
    </w:p>
    <w:p w:rsidR="00090EA1" w:rsidRDefault="00090EA1" w:rsidP="004C4B1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26206" w:rsidRDefault="00F26206" w:rsidP="00F26206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Ponadto Zamawiający informuje, że zmianie uległ Regulamin</w:t>
      </w:r>
      <w:r w:rsidRPr="00F26206">
        <w:rPr>
          <w:rFonts w:asciiTheme="minorHAnsi" w:hAnsiTheme="minorHAnsi"/>
          <w:sz w:val="24"/>
          <w:szCs w:val="24"/>
        </w:rPr>
        <w:t xml:space="preserve"> utrzymania czystości i porządku na terenie gminy Sulejów</w:t>
      </w:r>
      <w:r>
        <w:rPr>
          <w:rFonts w:asciiTheme="minorHAnsi" w:hAnsiTheme="minorHAnsi"/>
          <w:sz w:val="24"/>
          <w:szCs w:val="24"/>
        </w:rPr>
        <w:t xml:space="preserve"> oraz Uchwała w </w:t>
      </w:r>
      <w:r w:rsidRPr="00F26206">
        <w:rPr>
          <w:rFonts w:asciiTheme="minorHAnsi" w:hAnsiTheme="minorHAnsi"/>
          <w:sz w:val="24"/>
          <w:szCs w:val="24"/>
        </w:rPr>
        <w:t>sprawie określenia szczegółowego sposobu i zakresu świadczenia usług w zakresie odbierania odpadów komunalnych od właścicieli nieruchomości i zagospodarowania tych odpadów</w:t>
      </w:r>
      <w:r>
        <w:rPr>
          <w:rFonts w:asciiTheme="minorHAnsi" w:hAnsiTheme="minorHAnsi"/>
          <w:sz w:val="24"/>
          <w:szCs w:val="24"/>
        </w:rPr>
        <w:t xml:space="preserve">. Niniejsze dokumenty zostały opublikowane w dniu 07.06.2023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. w Dzienniku Urzędowym Województwa Łódzkiego pod numerami: </w:t>
      </w:r>
    </w:p>
    <w:p w:rsidR="00F26206" w:rsidRDefault="00B6189D" w:rsidP="00F2620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DZ. URZ. WOJ. ŁÓDZ</w:t>
      </w:r>
      <w:r w:rsidR="00F2620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F26206">
        <w:rPr>
          <w:rFonts w:asciiTheme="minorHAnsi" w:hAnsiTheme="minorHAnsi"/>
          <w:sz w:val="24"/>
          <w:szCs w:val="24"/>
        </w:rPr>
        <w:t>2023.4831 (</w:t>
      </w:r>
      <w:hyperlink r:id="rId7" w:history="1">
        <w:proofErr w:type="gramStart"/>
        <w:r w:rsidR="00F26206" w:rsidRPr="00D3491B">
          <w:rPr>
            <w:rStyle w:val="Hipercze"/>
            <w:rFonts w:asciiTheme="minorHAnsi" w:hAnsiTheme="minorHAnsi"/>
            <w:sz w:val="24"/>
            <w:szCs w:val="24"/>
          </w:rPr>
          <w:t>regulamin</w:t>
        </w:r>
      </w:hyperlink>
      <w:proofErr w:type="gramEnd"/>
      <w:r w:rsidR="00F26206">
        <w:rPr>
          <w:rFonts w:asciiTheme="minorHAnsi" w:hAnsiTheme="minorHAnsi"/>
          <w:sz w:val="24"/>
          <w:szCs w:val="24"/>
        </w:rPr>
        <w:t>)</w:t>
      </w:r>
    </w:p>
    <w:p w:rsidR="00F26206" w:rsidRDefault="00B6189D" w:rsidP="00F2620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DZ. URZ. WOJ. ŁÓDZ</w:t>
      </w:r>
      <w:r w:rsidR="00F2620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F26206">
        <w:rPr>
          <w:rFonts w:asciiTheme="minorHAnsi" w:hAnsiTheme="minorHAnsi"/>
          <w:sz w:val="24"/>
          <w:szCs w:val="24"/>
        </w:rPr>
        <w:t>2023.4832 (</w:t>
      </w:r>
      <w:hyperlink r:id="rId8" w:history="1">
        <w:proofErr w:type="gramStart"/>
        <w:r w:rsidR="00F26206" w:rsidRPr="00D3491B">
          <w:rPr>
            <w:rStyle w:val="Hipercze"/>
            <w:rFonts w:asciiTheme="minorHAnsi" w:hAnsiTheme="minorHAnsi"/>
            <w:sz w:val="24"/>
            <w:szCs w:val="24"/>
          </w:rPr>
          <w:t>uchwała</w:t>
        </w:r>
      </w:hyperlink>
      <w:proofErr w:type="gramEnd"/>
      <w:r w:rsidR="0037205C">
        <w:rPr>
          <w:rFonts w:asciiTheme="minorHAnsi" w:hAnsiTheme="minorHAnsi"/>
          <w:sz w:val="24"/>
          <w:szCs w:val="24"/>
        </w:rPr>
        <w:t>)</w:t>
      </w:r>
    </w:p>
    <w:p w:rsidR="00F26206" w:rsidRPr="00F26206" w:rsidRDefault="0037205C" w:rsidP="00F26206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proofErr w:type="gramEnd"/>
      <w:r>
        <w:rPr>
          <w:rFonts w:asciiTheme="minorHAnsi" w:hAnsiTheme="minorHAnsi"/>
          <w:sz w:val="24"/>
          <w:szCs w:val="24"/>
        </w:rPr>
        <w:t xml:space="preserve"> wchodzą w </w:t>
      </w:r>
      <w:r w:rsidRPr="0037205C">
        <w:rPr>
          <w:rFonts w:asciiTheme="minorHAnsi" w:hAnsiTheme="minorHAnsi"/>
          <w:sz w:val="24"/>
          <w:szCs w:val="24"/>
        </w:rPr>
        <w:t>życie po upływie 14 dni od dnia ogłoszenia w Dzienniku Urzędowym Województwa Łódzkiego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F26206" w:rsidRDefault="00F26206" w:rsidP="004C4B1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9B36AA" w:rsidRPr="004B5460" w:rsidRDefault="009B36AA" w:rsidP="004C4B1D">
      <w:pPr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>Działając na podstawie art. 90 ust. 2 i art. 137 ust. 6 ustawy z dnia 11 września 2019 r. Prawo zamówień publicznych Zamawiający informuje, że zmienia się terminy składania i otwarcia ofert oraz termin związania ofertą:</w:t>
      </w:r>
    </w:p>
    <w:p w:rsidR="009B36AA" w:rsidRPr="004B5460" w:rsidRDefault="005C09AE" w:rsidP="004C4B1D">
      <w:pPr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>- termin składania ofert na: 28</w:t>
      </w:r>
      <w:r w:rsidR="009B36AA" w:rsidRPr="004B5460">
        <w:rPr>
          <w:rFonts w:asciiTheme="minorHAnsi" w:hAnsiTheme="minorHAnsi"/>
          <w:sz w:val="24"/>
          <w:szCs w:val="24"/>
        </w:rPr>
        <w:t>.06.202</w:t>
      </w:r>
      <w:r w:rsidR="00EC413C" w:rsidRPr="004B5460">
        <w:rPr>
          <w:rFonts w:asciiTheme="minorHAnsi" w:hAnsiTheme="minorHAnsi"/>
          <w:sz w:val="24"/>
          <w:szCs w:val="24"/>
        </w:rPr>
        <w:t>3</w:t>
      </w:r>
      <w:r w:rsidR="009B36AA" w:rsidRPr="004B546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B36AA" w:rsidRPr="004B5460">
        <w:rPr>
          <w:rFonts w:asciiTheme="minorHAnsi" w:hAnsiTheme="minorHAnsi"/>
          <w:sz w:val="24"/>
          <w:szCs w:val="24"/>
        </w:rPr>
        <w:t>r</w:t>
      </w:r>
      <w:proofErr w:type="gramEnd"/>
      <w:r w:rsidR="009B36AA" w:rsidRPr="004B5460">
        <w:rPr>
          <w:rFonts w:asciiTheme="minorHAnsi" w:hAnsiTheme="minorHAnsi"/>
          <w:sz w:val="24"/>
          <w:szCs w:val="24"/>
        </w:rPr>
        <w:t>. godzina 11:00;</w:t>
      </w:r>
    </w:p>
    <w:p w:rsidR="009B36AA" w:rsidRPr="004B5460" w:rsidRDefault="009B36AA" w:rsidP="004C4B1D">
      <w:pPr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>-</w:t>
      </w:r>
      <w:r w:rsidR="005C09AE" w:rsidRPr="004B5460">
        <w:rPr>
          <w:rFonts w:asciiTheme="minorHAnsi" w:hAnsiTheme="minorHAnsi"/>
          <w:sz w:val="24"/>
          <w:szCs w:val="24"/>
        </w:rPr>
        <w:t xml:space="preserve"> termin otwarcia ofert na: 28</w:t>
      </w:r>
      <w:r w:rsidRPr="004B5460">
        <w:rPr>
          <w:rFonts w:asciiTheme="minorHAnsi" w:hAnsiTheme="minorHAnsi"/>
          <w:sz w:val="24"/>
          <w:szCs w:val="24"/>
        </w:rPr>
        <w:t>.06.202</w:t>
      </w:r>
      <w:r w:rsidR="00EC413C" w:rsidRPr="004B5460">
        <w:rPr>
          <w:rFonts w:asciiTheme="minorHAnsi" w:hAnsiTheme="minorHAnsi"/>
          <w:sz w:val="24"/>
          <w:szCs w:val="24"/>
        </w:rPr>
        <w:t>3</w:t>
      </w:r>
      <w:r w:rsidRPr="004B546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B5460">
        <w:rPr>
          <w:rFonts w:asciiTheme="minorHAnsi" w:hAnsiTheme="minorHAnsi"/>
          <w:sz w:val="24"/>
          <w:szCs w:val="24"/>
        </w:rPr>
        <w:t>r</w:t>
      </w:r>
      <w:proofErr w:type="gramEnd"/>
      <w:r w:rsidRPr="004B5460">
        <w:rPr>
          <w:rFonts w:asciiTheme="minorHAnsi" w:hAnsiTheme="minorHAnsi"/>
          <w:sz w:val="24"/>
          <w:szCs w:val="24"/>
        </w:rPr>
        <w:t>. godzina 11:30;</w:t>
      </w:r>
    </w:p>
    <w:p w:rsidR="009B36AA" w:rsidRPr="004B5460" w:rsidRDefault="005C09AE" w:rsidP="004C4B1D">
      <w:pPr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>- termin związania ofertą na: 25</w:t>
      </w:r>
      <w:r w:rsidR="009B36AA" w:rsidRPr="004B5460">
        <w:rPr>
          <w:rFonts w:asciiTheme="minorHAnsi" w:hAnsiTheme="minorHAnsi"/>
          <w:sz w:val="24"/>
          <w:szCs w:val="24"/>
        </w:rPr>
        <w:t>.09.202</w:t>
      </w:r>
      <w:r w:rsidR="00EC413C" w:rsidRPr="004B5460">
        <w:rPr>
          <w:rFonts w:asciiTheme="minorHAnsi" w:hAnsiTheme="minorHAnsi"/>
          <w:sz w:val="24"/>
          <w:szCs w:val="24"/>
        </w:rPr>
        <w:t>3</w:t>
      </w:r>
      <w:r w:rsidR="009B36AA" w:rsidRPr="004B546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B36AA" w:rsidRPr="004B5460">
        <w:rPr>
          <w:rFonts w:asciiTheme="minorHAnsi" w:hAnsiTheme="minorHAnsi"/>
          <w:sz w:val="24"/>
          <w:szCs w:val="24"/>
        </w:rPr>
        <w:t>r</w:t>
      </w:r>
      <w:proofErr w:type="gramEnd"/>
      <w:r w:rsidR="009B36AA" w:rsidRPr="004B5460">
        <w:rPr>
          <w:rFonts w:asciiTheme="minorHAnsi" w:hAnsiTheme="minorHAnsi"/>
          <w:sz w:val="24"/>
          <w:szCs w:val="24"/>
        </w:rPr>
        <w:t>.</w:t>
      </w:r>
    </w:p>
    <w:p w:rsidR="009B36AA" w:rsidRDefault="009B36AA" w:rsidP="004C4B1D">
      <w:pPr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 xml:space="preserve"> Zamawiający informuje, że w wyniku dokonanych zmian dokonał zmiany treści ogłoszenia o zamówieniu.</w:t>
      </w:r>
    </w:p>
    <w:p w:rsidR="005C09AE" w:rsidRDefault="005C09AE" w:rsidP="004C4B1D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5C09AE" w:rsidRDefault="005C09AE" w:rsidP="004C4B1D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3409C8" w:rsidRDefault="003409C8" w:rsidP="004C4B1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B5460" w:rsidRPr="004B5460" w:rsidRDefault="004B5460" w:rsidP="004B5460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Arial Unicode MS" w:hAnsiTheme="minorHAnsi" w:cs="Times New Roman"/>
          <w:color w:val="000000"/>
          <w:sz w:val="24"/>
          <w:szCs w:val="24"/>
          <w:u w:color="000000"/>
        </w:rPr>
      </w:pPr>
      <w:r w:rsidRPr="004B5460">
        <w:rPr>
          <w:rFonts w:asciiTheme="minorHAnsi" w:eastAsia="Arial Unicode MS" w:hAnsiTheme="minorHAnsi" w:cs="Times New Roman"/>
          <w:color w:val="000000"/>
          <w:sz w:val="24"/>
          <w:szCs w:val="24"/>
          <w:u w:color="000000"/>
        </w:rPr>
        <w:t>Burmistrz Sulejowa</w:t>
      </w:r>
    </w:p>
    <w:p w:rsidR="004B5460" w:rsidRPr="004B5460" w:rsidRDefault="004B5460" w:rsidP="004B5460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Arial Unicode MS" w:hAnsiTheme="minorHAnsi" w:cs="Times New Roman"/>
          <w:color w:val="000000"/>
          <w:sz w:val="24"/>
          <w:szCs w:val="24"/>
          <w:u w:color="000000"/>
        </w:rPr>
      </w:pPr>
    </w:p>
    <w:p w:rsidR="004B5460" w:rsidRPr="004B5460" w:rsidRDefault="004B5460" w:rsidP="004B5460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Times New Roman" w:hAnsiTheme="minorHAnsi" w:cs="Times New Roman"/>
          <w:color w:val="000000"/>
          <w:sz w:val="24"/>
          <w:szCs w:val="24"/>
          <w:u w:color="000000"/>
        </w:rPr>
      </w:pPr>
      <w:r>
        <w:rPr>
          <w:rFonts w:asciiTheme="minorHAnsi" w:eastAsia="Arial Unicode MS" w:hAnsiTheme="minorHAnsi" w:cs="Times New Roman"/>
          <w:color w:val="000000"/>
          <w:sz w:val="24"/>
          <w:szCs w:val="24"/>
          <w:u w:color="000000"/>
        </w:rPr>
        <w:t xml:space="preserve">/-/ </w:t>
      </w:r>
      <w:r w:rsidRPr="004B5460">
        <w:rPr>
          <w:rFonts w:asciiTheme="minorHAnsi" w:eastAsia="Arial Unicode MS" w:hAnsiTheme="minorHAnsi" w:cs="Times New Roman"/>
          <w:color w:val="000000"/>
          <w:sz w:val="24"/>
          <w:szCs w:val="24"/>
          <w:u w:color="000000"/>
        </w:rPr>
        <w:t>Wojciech Ostrowski</w:t>
      </w:r>
    </w:p>
    <w:p w:rsidR="003409C8" w:rsidRPr="003409C8" w:rsidRDefault="003409C8" w:rsidP="004C4B1D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3409C8" w:rsidRPr="00340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81" w:rsidRDefault="00830F81" w:rsidP="003409C8">
      <w:r>
        <w:separator/>
      </w:r>
    </w:p>
  </w:endnote>
  <w:endnote w:type="continuationSeparator" w:id="0">
    <w:p w:rsidR="00830F81" w:rsidRDefault="00830F81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830F81" w:rsidRDefault="00830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77">
          <w:rPr>
            <w:noProof/>
          </w:rPr>
          <w:t>20</w:t>
        </w:r>
        <w:r>
          <w:fldChar w:fldCharType="end"/>
        </w:r>
      </w:p>
    </w:sdtContent>
  </w:sdt>
  <w:p w:rsidR="00830F81" w:rsidRDefault="00830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81" w:rsidRDefault="00830F81" w:rsidP="003409C8">
      <w:r>
        <w:separator/>
      </w:r>
    </w:p>
  </w:footnote>
  <w:footnote w:type="continuationSeparator" w:id="0">
    <w:p w:rsidR="00830F81" w:rsidRDefault="00830F81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7F3215"/>
    <w:multiLevelType w:val="hybridMultilevel"/>
    <w:tmpl w:val="FD74F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E380E"/>
    <w:multiLevelType w:val="hybridMultilevel"/>
    <w:tmpl w:val="D7C2B354"/>
    <w:lvl w:ilvl="0" w:tplc="130AC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D145B"/>
    <w:multiLevelType w:val="multilevel"/>
    <w:tmpl w:val="647C780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6A95948"/>
    <w:multiLevelType w:val="multilevel"/>
    <w:tmpl w:val="BB6C9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4227FA"/>
    <w:multiLevelType w:val="hybridMultilevel"/>
    <w:tmpl w:val="929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B9B7AE8"/>
    <w:multiLevelType w:val="hybridMultilevel"/>
    <w:tmpl w:val="FD74F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1DC0"/>
    <w:multiLevelType w:val="multilevel"/>
    <w:tmpl w:val="BB6C9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13B24"/>
    <w:rsid w:val="0003051B"/>
    <w:rsid w:val="00090EA1"/>
    <w:rsid w:val="000A17B4"/>
    <w:rsid w:val="000D72CF"/>
    <w:rsid w:val="001049A8"/>
    <w:rsid w:val="001545D7"/>
    <w:rsid w:val="00182FF6"/>
    <w:rsid w:val="0021571A"/>
    <w:rsid w:val="002431D5"/>
    <w:rsid w:val="00243674"/>
    <w:rsid w:val="002564B4"/>
    <w:rsid w:val="002849B1"/>
    <w:rsid w:val="002A3631"/>
    <w:rsid w:val="002C4CD9"/>
    <w:rsid w:val="0032063A"/>
    <w:rsid w:val="0032641D"/>
    <w:rsid w:val="003409C8"/>
    <w:rsid w:val="003522D0"/>
    <w:rsid w:val="003551F0"/>
    <w:rsid w:val="0037205C"/>
    <w:rsid w:val="00400101"/>
    <w:rsid w:val="004425A2"/>
    <w:rsid w:val="004452F0"/>
    <w:rsid w:val="00482576"/>
    <w:rsid w:val="004A16B1"/>
    <w:rsid w:val="004A3E4E"/>
    <w:rsid w:val="004B5460"/>
    <w:rsid w:val="004C4B1D"/>
    <w:rsid w:val="004D3509"/>
    <w:rsid w:val="004D4C77"/>
    <w:rsid w:val="004E2968"/>
    <w:rsid w:val="00511E7D"/>
    <w:rsid w:val="005508B7"/>
    <w:rsid w:val="005C09AE"/>
    <w:rsid w:val="005D080D"/>
    <w:rsid w:val="005E2937"/>
    <w:rsid w:val="006012AD"/>
    <w:rsid w:val="006342FC"/>
    <w:rsid w:val="0066087D"/>
    <w:rsid w:val="006B7E20"/>
    <w:rsid w:val="006C0FC9"/>
    <w:rsid w:val="006E60CC"/>
    <w:rsid w:val="007012AE"/>
    <w:rsid w:val="0072558A"/>
    <w:rsid w:val="0074630C"/>
    <w:rsid w:val="007722CA"/>
    <w:rsid w:val="007A3C73"/>
    <w:rsid w:val="007B570C"/>
    <w:rsid w:val="007C3496"/>
    <w:rsid w:val="007D03CA"/>
    <w:rsid w:val="00806DD3"/>
    <w:rsid w:val="00830F81"/>
    <w:rsid w:val="008459E7"/>
    <w:rsid w:val="0088031E"/>
    <w:rsid w:val="00880763"/>
    <w:rsid w:val="008D3871"/>
    <w:rsid w:val="00930655"/>
    <w:rsid w:val="00957DBF"/>
    <w:rsid w:val="009775BC"/>
    <w:rsid w:val="009B1A47"/>
    <w:rsid w:val="009B36AA"/>
    <w:rsid w:val="00A06DC7"/>
    <w:rsid w:val="00A5485F"/>
    <w:rsid w:val="00A65433"/>
    <w:rsid w:val="00AB6FF5"/>
    <w:rsid w:val="00AC1128"/>
    <w:rsid w:val="00AD7D1F"/>
    <w:rsid w:val="00AE7F3D"/>
    <w:rsid w:val="00B00E11"/>
    <w:rsid w:val="00B15D0F"/>
    <w:rsid w:val="00B6189D"/>
    <w:rsid w:val="00B912A5"/>
    <w:rsid w:val="00B92397"/>
    <w:rsid w:val="00BB38E3"/>
    <w:rsid w:val="00C224BD"/>
    <w:rsid w:val="00C25BDD"/>
    <w:rsid w:val="00CA697A"/>
    <w:rsid w:val="00CB76ED"/>
    <w:rsid w:val="00D3491B"/>
    <w:rsid w:val="00D42D09"/>
    <w:rsid w:val="00D5159B"/>
    <w:rsid w:val="00D52E4E"/>
    <w:rsid w:val="00D55AA9"/>
    <w:rsid w:val="00D56567"/>
    <w:rsid w:val="00D702A4"/>
    <w:rsid w:val="00D87D2D"/>
    <w:rsid w:val="00DB75C0"/>
    <w:rsid w:val="00E0640A"/>
    <w:rsid w:val="00E32F0D"/>
    <w:rsid w:val="00E57B57"/>
    <w:rsid w:val="00E71159"/>
    <w:rsid w:val="00EB7117"/>
    <w:rsid w:val="00EC413C"/>
    <w:rsid w:val="00ED75D5"/>
    <w:rsid w:val="00F26206"/>
    <w:rsid w:val="00F75311"/>
    <w:rsid w:val="00F97B64"/>
    <w:rsid w:val="00FA7144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C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3A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63A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97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FA7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2A3631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2A3631"/>
    <w:rPr>
      <w:rFonts w:ascii="Calibri" w:eastAsia="Calibri" w:hAnsi="Calibri" w:cs="Times New Roman"/>
      <w:color w:val="000000"/>
      <w:u w:color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2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206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49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.lodzkie.eu/legalact/2023/48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.lodzkie.eu/legalact/2023/48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20</Pages>
  <Words>5438</Words>
  <Characters>32628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60</cp:revision>
  <cp:lastPrinted>2023-06-19T11:35:00Z</cp:lastPrinted>
  <dcterms:created xsi:type="dcterms:W3CDTF">2021-06-23T11:09:00Z</dcterms:created>
  <dcterms:modified xsi:type="dcterms:W3CDTF">2023-06-19T11:38:00Z</dcterms:modified>
</cp:coreProperties>
</file>