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43" w:rsidRDefault="008B5243" w:rsidP="008B5243">
      <w:pPr>
        <w:pStyle w:val="NormalnyWeb"/>
        <w:tabs>
          <w:tab w:val="left" w:pos="7305"/>
        </w:tabs>
        <w:spacing w:before="0" w:after="0"/>
        <w:rPr>
          <w:b/>
          <w:i/>
          <w:spacing w:val="4"/>
          <w:sz w:val="22"/>
          <w:szCs w:val="22"/>
        </w:rPr>
      </w:pPr>
    </w:p>
    <w:p w:rsidR="00615F2B" w:rsidRDefault="00615F2B" w:rsidP="00615F2B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9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4"/>
        <w:gridCol w:w="5390"/>
      </w:tblGrid>
      <w:tr w:rsidR="008B5243" w:rsidRPr="00655900" w:rsidTr="00D867C7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5243" w:rsidRDefault="008B5243" w:rsidP="00D867C7">
            <w:pPr>
              <w:jc w:val="both"/>
            </w:pPr>
            <w:r>
              <w:rPr>
                <w:rFonts w:ascii="Times New Roman" w:hAnsi="Times New Roman"/>
                <w:b/>
              </w:rPr>
              <w:t>Zamawiający:</w:t>
            </w:r>
          </w:p>
          <w:p w:rsidR="008B5243" w:rsidRDefault="008B5243" w:rsidP="00D867C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C496A">
              <w:rPr>
                <w:rFonts w:ascii="Times New Roman" w:hAnsi="Times New Roman"/>
                <w:b/>
                <w:bCs/>
              </w:rPr>
              <w:t xml:space="preserve">Muzeum II Wojny Światowej </w:t>
            </w:r>
          </w:p>
          <w:p w:rsidR="008B5243" w:rsidRDefault="008B5243" w:rsidP="00D867C7">
            <w:pPr>
              <w:jc w:val="both"/>
              <w:rPr>
                <w:rFonts w:ascii="Times New Roman" w:hAnsi="Times New Roman"/>
              </w:rPr>
            </w:pPr>
            <w:r w:rsidRPr="000C496A">
              <w:rPr>
                <w:rFonts w:ascii="Times New Roman" w:hAnsi="Times New Roman"/>
                <w:b/>
                <w:bCs/>
              </w:rPr>
              <w:t>w Gdańsku</w:t>
            </w:r>
          </w:p>
          <w:p w:rsidR="008B5243" w:rsidRPr="00A551CB" w:rsidRDefault="008B5243" w:rsidP="00D867C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551CB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:rsidR="008B5243" w:rsidRPr="00A551CB" w:rsidRDefault="008B5243" w:rsidP="00D867C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551CB">
              <w:rPr>
                <w:rFonts w:ascii="Times New Roman" w:hAnsi="Times New Roman"/>
                <w:b/>
                <w:bCs/>
              </w:rPr>
              <w:t>80-862 Gdańsk</w:t>
            </w:r>
          </w:p>
          <w:p w:rsidR="008B5243" w:rsidRPr="00655900" w:rsidRDefault="008B5243" w:rsidP="00D867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43" w:rsidRDefault="008B5243" w:rsidP="00D867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:rsidR="008B5243" w:rsidRDefault="008B5243" w:rsidP="00D867C7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:rsidR="008B5243" w:rsidRDefault="008B5243" w:rsidP="00D867C7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:rsidR="008B5243" w:rsidRDefault="008B5243" w:rsidP="00D867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:rsidR="008B5243" w:rsidRPr="00655900" w:rsidRDefault="008B5243" w:rsidP="00D867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603E39" w:rsidRDefault="00F63F80" w:rsidP="008B5243">
      <w:pPr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bookmarkStart w:id="0" w:name="_Hlk101968405"/>
      <w:r w:rsidRPr="008B5243">
        <w:rPr>
          <w:rFonts w:ascii="Times New Roman" w:eastAsia="Times New Roman" w:hAnsi="Times New Roman"/>
          <w:b/>
          <w:u w:val="single"/>
          <w:lang w:eastAsia="pl-PL"/>
        </w:rPr>
        <w:t>Oświadczenie W</w:t>
      </w:r>
      <w:r w:rsidR="00603E39" w:rsidRPr="008B5243">
        <w:rPr>
          <w:rFonts w:ascii="Times New Roman" w:eastAsia="Times New Roman" w:hAnsi="Times New Roman"/>
          <w:b/>
          <w:u w:val="single"/>
          <w:lang w:eastAsia="pl-PL"/>
        </w:rPr>
        <w:t>ykonawcy</w:t>
      </w:r>
    </w:p>
    <w:p w:rsidR="008B5243" w:rsidRPr="008B5243" w:rsidRDefault="008B5243" w:rsidP="008B5243">
      <w:pPr>
        <w:spacing w:after="0"/>
        <w:jc w:val="center"/>
        <w:rPr>
          <w:rFonts w:ascii="Times New Roman" w:hAnsi="Times New Roman"/>
          <w:u w:val="single"/>
        </w:rPr>
      </w:pPr>
    </w:p>
    <w:p w:rsidR="00F63F80" w:rsidRDefault="00603E39" w:rsidP="008B5243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F63F80">
        <w:rPr>
          <w:rFonts w:ascii="Times New Roman" w:eastAsia="Times New Roman" w:hAnsi="Times New Roman"/>
          <w:b/>
          <w:lang w:eastAsia="pl-PL"/>
        </w:rPr>
        <w:t xml:space="preserve"> o niepodleganiu wykluczeniu składane na podstawie art. 125 ust. 1 ustawy z dnia 11 września </w:t>
      </w:r>
    </w:p>
    <w:p w:rsidR="00603E39" w:rsidRPr="00F63F80" w:rsidRDefault="00603E39" w:rsidP="008B5243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F63F80">
        <w:rPr>
          <w:rFonts w:ascii="Times New Roman" w:eastAsia="Times New Roman" w:hAnsi="Times New Roman"/>
          <w:b/>
          <w:lang w:eastAsia="pl-PL"/>
        </w:rPr>
        <w:t xml:space="preserve">2019 r. Prawo zamówień publicznych (dalej jako: ustawa Pzp), </w:t>
      </w:r>
    </w:p>
    <w:p w:rsidR="00603E39" w:rsidRDefault="00F63F80" w:rsidP="008B5243">
      <w:pPr>
        <w:pStyle w:val="Zwykytekst"/>
        <w:suppressAutoHyphens/>
        <w:spacing w:line="276" w:lineRule="auto"/>
        <w:ind w:left="426"/>
        <w:jc w:val="center"/>
        <w:rPr>
          <w:rFonts w:ascii="Times New Roman" w:hAnsi="Times New Roman" w:cs="Times New Roman"/>
          <w:b/>
          <w:spacing w:val="4"/>
          <w:sz w:val="22"/>
          <w:szCs w:val="22"/>
        </w:rPr>
      </w:pPr>
      <w:r w:rsidRPr="00F63F80">
        <w:rPr>
          <w:rFonts w:ascii="Times New Roman" w:hAnsi="Times New Roman" w:cs="Times New Roman"/>
          <w:b/>
          <w:sz w:val="22"/>
          <w:szCs w:val="22"/>
        </w:rPr>
        <w:t xml:space="preserve">w </w:t>
      </w:r>
      <w:r w:rsidR="00AA016D">
        <w:rPr>
          <w:rFonts w:ascii="Times New Roman" w:hAnsi="Times New Roman" w:cs="Times New Roman"/>
          <w:b/>
          <w:sz w:val="22"/>
          <w:szCs w:val="22"/>
        </w:rPr>
        <w:t>oparciu o</w:t>
      </w:r>
      <w:r w:rsidRPr="00F63F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63F80">
        <w:rPr>
          <w:rFonts w:ascii="Times New Roman" w:hAnsi="Times New Roman"/>
          <w:b/>
          <w:sz w:val="22"/>
          <w:szCs w:val="22"/>
        </w:rPr>
        <w:t xml:space="preserve">art. 7 ust. 1 </w:t>
      </w:r>
      <w:r w:rsidRPr="00F63F80">
        <w:rPr>
          <w:rFonts w:ascii="Times New Roman" w:hAnsi="Times New Roman" w:cs="Times New Roman"/>
          <w:b/>
          <w:spacing w:val="4"/>
          <w:sz w:val="22"/>
          <w:szCs w:val="22"/>
        </w:rPr>
        <w:t xml:space="preserve">ustawy z dnia 13 kwietnia 2022 r. o szczególnych rozwiązaniach 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br/>
      </w:r>
      <w:r w:rsidRPr="00F63F80">
        <w:rPr>
          <w:rFonts w:ascii="Times New Roman" w:hAnsi="Times New Roman" w:cs="Times New Roman"/>
          <w:b/>
          <w:spacing w:val="4"/>
          <w:sz w:val="22"/>
          <w:szCs w:val="22"/>
        </w:rPr>
        <w:t>w zakresie przeciwdziałania wspieraniu agresji na Ukrainę oraz służących och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ronie bezpieczeństwa narodowego</w:t>
      </w:r>
    </w:p>
    <w:p w:rsidR="008B5243" w:rsidRPr="00396D16" w:rsidRDefault="008B5243" w:rsidP="008B5243">
      <w:pPr>
        <w:pStyle w:val="Zwykytekst"/>
        <w:suppressAutoHyphens/>
        <w:spacing w:line="276" w:lineRule="auto"/>
        <w:ind w:left="426"/>
        <w:jc w:val="center"/>
        <w:rPr>
          <w:rFonts w:ascii="Times New Roman" w:hAnsi="Times New Roman" w:cs="Times New Roman"/>
          <w:b/>
          <w:spacing w:val="4"/>
          <w:sz w:val="22"/>
          <w:szCs w:val="22"/>
        </w:rPr>
      </w:pPr>
    </w:p>
    <w:p w:rsidR="00603E39" w:rsidRPr="00396D16" w:rsidRDefault="005E20F6" w:rsidP="00396D16">
      <w:pPr>
        <w:jc w:val="both"/>
      </w:pPr>
      <w:r>
        <w:rPr>
          <w:rFonts w:ascii="Times New Roman" w:hAnsi="Times New Roman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</w:rPr>
        <w:t>„</w:t>
      </w:r>
      <w:r w:rsidR="00897E49">
        <w:rPr>
          <w:rFonts w:ascii="Times New Roman" w:hAnsi="Times New Roman"/>
          <w:b/>
        </w:rPr>
        <w:t>Zaprojektowanie, wykonanie, dostawa i zainstalowanie windy osobowej dostosowanej do potrzeb przewozu osób niepełnosprawnych w siedzibie Muzeum II Wojny Światowej w Gdańsku</w:t>
      </w:r>
      <w:bookmarkStart w:id="1" w:name="_GoBack"/>
      <w:bookmarkEnd w:id="1"/>
      <w:r>
        <w:rPr>
          <w:rFonts w:ascii="Times New Roman" w:hAnsi="Times New Roman"/>
          <w:b/>
        </w:rPr>
        <w:t xml:space="preserve">” </w:t>
      </w:r>
      <w:r>
        <w:rPr>
          <w:rFonts w:ascii="Times New Roman" w:hAnsi="Times New Roman"/>
        </w:rPr>
        <w:t xml:space="preserve">prowadzonego przez                      </w:t>
      </w:r>
      <w:r w:rsidRPr="000C496A">
        <w:rPr>
          <w:rFonts w:ascii="Times New Roman" w:hAnsi="Times New Roman"/>
          <w:b/>
          <w:bCs/>
        </w:rPr>
        <w:t>Muzeum II Wojny Światowej w Gdańsku</w:t>
      </w:r>
      <w:r>
        <w:rPr>
          <w:rFonts w:ascii="Times New Roman" w:hAnsi="Times New Roman"/>
        </w:rPr>
        <w:t xml:space="preserve"> oświadczam, co następuje:</w:t>
      </w:r>
    </w:p>
    <w:p w:rsidR="00A56DF3" w:rsidRPr="004E707D" w:rsidRDefault="00A56DF3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  <w:sz w:val="18"/>
          <w:szCs w:val="18"/>
        </w:rPr>
      </w:pPr>
      <w:r w:rsidRPr="004E707D">
        <w:rPr>
          <w:rFonts w:ascii="Times New Roman" w:hAnsi="Times New Roman" w:cs="Times New Roman"/>
          <w:spacing w:val="4"/>
          <w:sz w:val="18"/>
          <w:szCs w:val="18"/>
        </w:rPr>
        <w:t>oświadczam, że nie podlegam wykluczeniu z postępowania na podstawie art. 7 ust.1 ustawy z dnia 13 kwietnia 2022 r. o szczególnych rozwiązaniach w zakresie przeciwdziałania wspieraniu agresji na Ukrainę oraz służących ochr</w:t>
      </w:r>
      <w:r w:rsidR="004E707D" w:rsidRPr="004E707D">
        <w:rPr>
          <w:rFonts w:ascii="Times New Roman" w:hAnsi="Times New Roman" w:cs="Times New Roman"/>
          <w:spacing w:val="4"/>
          <w:sz w:val="18"/>
          <w:szCs w:val="18"/>
        </w:rPr>
        <w:t>onie bezpieczeństwa narodowego:</w:t>
      </w:r>
    </w:p>
    <w:p w:rsidR="004E707D" w:rsidRPr="004E707D" w:rsidRDefault="004E707D" w:rsidP="005E20F6">
      <w:pPr>
        <w:pStyle w:val="Akapitzlist"/>
        <w:spacing w:after="0"/>
        <w:ind w:left="1069"/>
        <w:jc w:val="both"/>
        <w:rPr>
          <w:i/>
          <w:sz w:val="18"/>
          <w:szCs w:val="18"/>
        </w:rPr>
      </w:pPr>
      <w:r w:rsidRPr="004E707D">
        <w:rPr>
          <w:rFonts w:ascii="Times New Roman"/>
          <w:i/>
          <w:color w:val="000000"/>
          <w:sz w:val="18"/>
          <w:szCs w:val="18"/>
        </w:rPr>
        <w:t>1.</w:t>
      </w:r>
      <w:r w:rsidRPr="004E707D">
        <w:rPr>
          <w:rFonts w:ascii="Times New Roman"/>
          <w:i/>
          <w:color w:val="000000"/>
          <w:sz w:val="18"/>
          <w:szCs w:val="18"/>
        </w:rPr>
        <w:t> </w:t>
      </w:r>
      <w:r w:rsidRPr="004E707D">
        <w:rPr>
          <w:rFonts w:ascii="Times New Roman"/>
          <w:i/>
          <w:color w:val="000000"/>
          <w:sz w:val="18"/>
          <w:szCs w:val="18"/>
        </w:rPr>
        <w:t>Z post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powania o udzielenie zam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wienia publicznego lub konkursu prowadzonego na podstawie </w:t>
      </w:r>
      <w:r w:rsidRPr="004E707D">
        <w:rPr>
          <w:rFonts w:ascii="Times New Roman"/>
          <w:i/>
          <w:color w:val="1B1B1B"/>
          <w:sz w:val="18"/>
          <w:szCs w:val="18"/>
        </w:rPr>
        <w:t>ustawy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z dnia 11 wrze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nia 2019 r. - Prawo zam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>wie</w:t>
      </w:r>
      <w:r w:rsidRPr="004E707D">
        <w:rPr>
          <w:rFonts w:ascii="Times New Roman"/>
          <w:i/>
          <w:color w:val="000000"/>
          <w:sz w:val="18"/>
          <w:szCs w:val="18"/>
        </w:rPr>
        <w:t>ń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publicznych wyklucza si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:</w:t>
      </w:r>
    </w:p>
    <w:p w:rsidR="004E707D" w:rsidRPr="004E707D" w:rsidRDefault="004E707D" w:rsidP="005E20F6">
      <w:pPr>
        <w:pStyle w:val="Akapitzlist"/>
        <w:spacing w:before="26" w:after="0"/>
        <w:ind w:left="1069"/>
        <w:jc w:val="both"/>
        <w:rPr>
          <w:i/>
          <w:sz w:val="18"/>
          <w:szCs w:val="18"/>
        </w:rPr>
      </w:pPr>
      <w:r w:rsidRPr="004E707D">
        <w:rPr>
          <w:rFonts w:ascii="Times New Roman"/>
          <w:i/>
          <w:color w:val="000000"/>
          <w:sz w:val="18"/>
          <w:szCs w:val="18"/>
        </w:rPr>
        <w:t>- wykonawc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wymienionego w wykazach okre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lonych w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765/2006 i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269/2014 albo wpisanego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na podstawie decyzji w sprawie wpisu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rozstrzygaj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cej o zastosowaniu 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rodka, o kt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>rym mowa w art. 1 pkt 3;</w:t>
      </w:r>
    </w:p>
    <w:p w:rsidR="004E707D" w:rsidRPr="004E707D" w:rsidRDefault="004E707D" w:rsidP="005E20F6">
      <w:pPr>
        <w:pStyle w:val="Akapitzlist"/>
        <w:spacing w:before="26" w:after="0"/>
        <w:ind w:left="1069"/>
        <w:jc w:val="both"/>
        <w:rPr>
          <w:i/>
          <w:sz w:val="18"/>
          <w:szCs w:val="18"/>
        </w:rPr>
      </w:pPr>
      <w:r w:rsidRPr="004E707D">
        <w:rPr>
          <w:rFonts w:ascii="Times New Roman"/>
          <w:i/>
          <w:color w:val="000000"/>
          <w:sz w:val="18"/>
          <w:szCs w:val="18"/>
        </w:rPr>
        <w:t>- wykonawc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, kt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rego beneficjentem rzeczywistym w rozumieniu </w:t>
      </w:r>
      <w:r w:rsidRPr="004E707D">
        <w:rPr>
          <w:rFonts w:ascii="Times New Roman"/>
          <w:i/>
          <w:color w:val="1B1B1B"/>
          <w:sz w:val="18"/>
          <w:szCs w:val="18"/>
        </w:rPr>
        <w:t>ustawy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z dnia 1 marca 2018 r. o przeciwdzia</w:t>
      </w:r>
      <w:r w:rsidRPr="004E707D">
        <w:rPr>
          <w:rFonts w:ascii="Times New Roman"/>
          <w:i/>
          <w:color w:val="000000"/>
          <w:sz w:val="18"/>
          <w:szCs w:val="18"/>
        </w:rPr>
        <w:t>ł</w:t>
      </w:r>
      <w:r w:rsidRPr="004E707D">
        <w:rPr>
          <w:rFonts w:ascii="Times New Roman"/>
          <w:i/>
          <w:color w:val="000000"/>
          <w:sz w:val="18"/>
          <w:szCs w:val="18"/>
        </w:rPr>
        <w:t>aniu praniu pieni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dzy oraz finansowaniu terroryzmu (Dz. U. z 2022 r. poz. 593 i 655) jest osoba wymieniona w wykazach okre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lonych w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765/2006 i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269/2014 albo wpisana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lub b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d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>ca takim beneficjentem rzeczywistym od dnia 24 lutego 2022 r., o ile zosta</w:t>
      </w:r>
      <w:r w:rsidRPr="004E707D">
        <w:rPr>
          <w:rFonts w:ascii="Times New Roman"/>
          <w:i/>
          <w:color w:val="000000"/>
          <w:sz w:val="18"/>
          <w:szCs w:val="18"/>
        </w:rPr>
        <w:t>ł</w:t>
      </w:r>
      <w:r w:rsidRPr="004E707D">
        <w:rPr>
          <w:rFonts w:ascii="Times New Roman"/>
          <w:i/>
          <w:color w:val="000000"/>
          <w:sz w:val="18"/>
          <w:szCs w:val="18"/>
        </w:rPr>
        <w:t>a wpisana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na podstawie decyzji w sprawie wpisu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rozstrzygaj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cej o zastosowaniu 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rodka, o kt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>rym mowa w art. 1 pkt 3;</w:t>
      </w:r>
    </w:p>
    <w:p w:rsidR="004E707D" w:rsidRPr="004E707D" w:rsidRDefault="004E707D" w:rsidP="005E20F6">
      <w:pPr>
        <w:pStyle w:val="Akapitzlist"/>
        <w:spacing w:before="26" w:after="0"/>
        <w:ind w:left="1069"/>
        <w:jc w:val="both"/>
        <w:rPr>
          <w:i/>
          <w:sz w:val="18"/>
          <w:szCs w:val="18"/>
        </w:rPr>
      </w:pPr>
      <w:r w:rsidRPr="004E707D">
        <w:rPr>
          <w:rFonts w:ascii="Times New Roman"/>
          <w:i/>
          <w:color w:val="000000"/>
          <w:sz w:val="18"/>
          <w:szCs w:val="18"/>
        </w:rPr>
        <w:t>- wykonawc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, kt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>rego jednostk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dominuj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>c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w rozumieniu </w:t>
      </w:r>
      <w:r>
        <w:rPr>
          <w:rFonts w:ascii="Times New Roman"/>
          <w:i/>
          <w:color w:val="1B1B1B"/>
          <w:sz w:val="18"/>
          <w:szCs w:val="18"/>
        </w:rPr>
        <w:t xml:space="preserve">art. 3 ust. 1 pkt. </w:t>
      </w:r>
      <w:r w:rsidRPr="004E707D">
        <w:rPr>
          <w:rFonts w:ascii="Times New Roman"/>
          <w:i/>
          <w:color w:val="1B1B1B"/>
          <w:sz w:val="18"/>
          <w:szCs w:val="18"/>
        </w:rPr>
        <w:t>37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ustawy z dnia 29 wrze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nia 1994 r. </w:t>
      </w:r>
      <w:r w:rsidR="005E20F6">
        <w:rPr>
          <w:rFonts w:ascii="Times New Roman"/>
          <w:i/>
          <w:color w:val="000000"/>
          <w:sz w:val="18"/>
          <w:szCs w:val="18"/>
        </w:rPr>
        <w:t xml:space="preserve">                   </w:t>
      </w:r>
      <w:r w:rsidRPr="004E707D">
        <w:rPr>
          <w:rFonts w:ascii="Times New Roman"/>
          <w:i/>
          <w:color w:val="000000"/>
          <w:sz w:val="18"/>
          <w:szCs w:val="18"/>
        </w:rPr>
        <w:t>o rachunkowo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ci (Dz. U. z 2021 r. poz. 217, 2105 i 2106) jest podmiot wymieniony w wykazach okre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lonych </w:t>
      </w:r>
      <w:r w:rsidR="005E20F6">
        <w:rPr>
          <w:rFonts w:ascii="Times New Roman"/>
          <w:i/>
          <w:color w:val="000000"/>
          <w:sz w:val="18"/>
          <w:szCs w:val="18"/>
        </w:rPr>
        <w:t xml:space="preserve">                           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w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765/2006 i </w:t>
      </w:r>
      <w:r w:rsidRPr="004E707D">
        <w:rPr>
          <w:rFonts w:ascii="Times New Roman"/>
          <w:i/>
          <w:color w:val="1B1B1B"/>
          <w:sz w:val="18"/>
          <w:szCs w:val="18"/>
        </w:rPr>
        <w:t>rozporz</w:t>
      </w:r>
      <w:r w:rsidRPr="004E707D">
        <w:rPr>
          <w:rFonts w:ascii="Times New Roman"/>
          <w:i/>
          <w:color w:val="1B1B1B"/>
          <w:sz w:val="18"/>
          <w:szCs w:val="18"/>
        </w:rPr>
        <w:t>ą</w:t>
      </w:r>
      <w:r w:rsidRPr="004E707D">
        <w:rPr>
          <w:rFonts w:ascii="Times New Roman"/>
          <w:i/>
          <w:color w:val="1B1B1B"/>
          <w:sz w:val="18"/>
          <w:szCs w:val="18"/>
        </w:rPr>
        <w:t>dzeniu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269/2014 albo wpisany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lub b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d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>cy tak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jednostk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dominuj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>c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od dnia 24 lutego 2022 r., o ile zosta</w:t>
      </w:r>
      <w:r w:rsidRPr="004E707D">
        <w:rPr>
          <w:rFonts w:ascii="Times New Roman"/>
          <w:i/>
          <w:color w:val="000000"/>
          <w:sz w:val="18"/>
          <w:szCs w:val="18"/>
        </w:rPr>
        <w:t>ł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wpisany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na podstawie decyzji w sprawie wpisu na list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 rozstrzygaj</w:t>
      </w:r>
      <w:r w:rsidRPr="004E707D">
        <w:rPr>
          <w:rFonts w:ascii="Times New Roman"/>
          <w:i/>
          <w:color w:val="000000"/>
          <w:sz w:val="18"/>
          <w:szCs w:val="18"/>
        </w:rPr>
        <w:t>ą</w:t>
      </w:r>
      <w:r w:rsidRPr="004E707D">
        <w:rPr>
          <w:rFonts w:ascii="Times New Roman"/>
          <w:i/>
          <w:color w:val="000000"/>
          <w:sz w:val="18"/>
          <w:szCs w:val="18"/>
        </w:rPr>
        <w:t xml:space="preserve">cej o zastosowaniu 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rodka, o kt</w:t>
      </w:r>
      <w:r w:rsidRPr="004E707D">
        <w:rPr>
          <w:rFonts w:ascii="Times New Roman"/>
          <w:i/>
          <w:color w:val="000000"/>
          <w:sz w:val="18"/>
          <w:szCs w:val="18"/>
        </w:rPr>
        <w:t>ó</w:t>
      </w:r>
      <w:r w:rsidRPr="004E707D">
        <w:rPr>
          <w:rFonts w:ascii="Times New Roman"/>
          <w:i/>
          <w:color w:val="000000"/>
          <w:sz w:val="18"/>
          <w:szCs w:val="18"/>
        </w:rPr>
        <w:t>rym mowa w art. 1 pkt 3.</w:t>
      </w:r>
    </w:p>
    <w:p w:rsidR="00F63F80" w:rsidRDefault="004E707D" w:rsidP="00396D16">
      <w:pPr>
        <w:pStyle w:val="Akapitzlist"/>
        <w:spacing w:before="26" w:after="0"/>
        <w:ind w:left="1069"/>
        <w:jc w:val="both"/>
        <w:rPr>
          <w:rFonts w:ascii="Times New Roman"/>
          <w:i/>
          <w:color w:val="000000"/>
          <w:sz w:val="18"/>
          <w:szCs w:val="18"/>
        </w:rPr>
      </w:pPr>
      <w:r w:rsidRPr="004E707D">
        <w:rPr>
          <w:rFonts w:ascii="Times New Roman"/>
          <w:i/>
          <w:color w:val="000000"/>
          <w:sz w:val="18"/>
          <w:szCs w:val="18"/>
        </w:rPr>
        <w:t>2.</w:t>
      </w:r>
      <w:r w:rsidRPr="004E707D">
        <w:rPr>
          <w:rFonts w:ascii="Times New Roman"/>
          <w:i/>
          <w:color w:val="000000"/>
          <w:sz w:val="18"/>
          <w:szCs w:val="18"/>
        </w:rPr>
        <w:t> </w:t>
      </w:r>
      <w:r w:rsidRPr="004E707D">
        <w:rPr>
          <w:rFonts w:ascii="Times New Roman"/>
          <w:i/>
          <w:color w:val="000000"/>
          <w:sz w:val="18"/>
          <w:szCs w:val="18"/>
        </w:rPr>
        <w:t>Wykluczenie nast</w:t>
      </w:r>
      <w:r w:rsidRPr="004E707D">
        <w:rPr>
          <w:rFonts w:ascii="Times New Roman"/>
          <w:i/>
          <w:color w:val="000000"/>
          <w:sz w:val="18"/>
          <w:szCs w:val="18"/>
        </w:rPr>
        <w:t>ę</w:t>
      </w:r>
      <w:r w:rsidRPr="004E707D">
        <w:rPr>
          <w:rFonts w:ascii="Times New Roman"/>
          <w:i/>
          <w:color w:val="000000"/>
          <w:sz w:val="18"/>
          <w:szCs w:val="18"/>
        </w:rPr>
        <w:t>puje na okres trwania okoliczno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ci okre</w:t>
      </w:r>
      <w:r w:rsidRPr="004E707D">
        <w:rPr>
          <w:rFonts w:ascii="Times New Roman"/>
          <w:i/>
          <w:color w:val="000000"/>
          <w:sz w:val="18"/>
          <w:szCs w:val="18"/>
        </w:rPr>
        <w:t>ś</w:t>
      </w:r>
      <w:r w:rsidRPr="004E707D">
        <w:rPr>
          <w:rFonts w:ascii="Times New Roman"/>
          <w:i/>
          <w:color w:val="000000"/>
          <w:sz w:val="18"/>
          <w:szCs w:val="18"/>
        </w:rPr>
        <w:t>lonych w ust. 1.</w:t>
      </w:r>
    </w:p>
    <w:p w:rsidR="008B5243" w:rsidRDefault="008B5243" w:rsidP="00396D16">
      <w:pPr>
        <w:pStyle w:val="Akapitzlist"/>
        <w:spacing w:before="26" w:after="0"/>
        <w:ind w:left="1069"/>
        <w:jc w:val="both"/>
        <w:rPr>
          <w:i/>
          <w:sz w:val="18"/>
          <w:szCs w:val="18"/>
        </w:rPr>
      </w:pPr>
    </w:p>
    <w:p w:rsidR="008B5243" w:rsidRPr="00396D16" w:rsidRDefault="008B5243" w:rsidP="00396D16">
      <w:pPr>
        <w:pStyle w:val="Akapitzlist"/>
        <w:spacing w:before="26" w:after="0"/>
        <w:ind w:left="1069"/>
        <w:jc w:val="both"/>
        <w:rPr>
          <w:i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396D16" w:rsidRPr="00EC4150" w:rsidTr="00D867C7">
        <w:trPr>
          <w:trHeight w:val="913"/>
        </w:trPr>
        <w:tc>
          <w:tcPr>
            <w:tcW w:w="2721" w:type="dxa"/>
            <w:vAlign w:val="center"/>
          </w:tcPr>
          <w:bookmarkEnd w:id="0"/>
          <w:p w:rsidR="00396D16" w:rsidRPr="00EC4150" w:rsidRDefault="00396D16" w:rsidP="00D86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:rsidR="00396D16" w:rsidRPr="005526A2" w:rsidRDefault="00396D16" w:rsidP="00D867C7">
            <w:pPr>
              <w:jc w:val="both"/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</w:tc>
      </w:tr>
      <w:tr w:rsidR="00396D16" w:rsidRPr="007C58E1" w:rsidTr="00D867C7">
        <w:trPr>
          <w:trHeight w:val="816"/>
        </w:trPr>
        <w:tc>
          <w:tcPr>
            <w:tcW w:w="2721" w:type="dxa"/>
          </w:tcPr>
          <w:p w:rsidR="00396D16" w:rsidRDefault="00396D16" w:rsidP="00D867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6D16" w:rsidRPr="007C58E1" w:rsidRDefault="00396D16" w:rsidP="00D867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6D16" w:rsidRPr="007C58E1" w:rsidRDefault="00396D16" w:rsidP="00D867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:rsidR="00396D16" w:rsidRPr="007C58E1" w:rsidRDefault="00396D16" w:rsidP="00D867C7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:rsidR="00396D16" w:rsidRPr="007C58E1" w:rsidRDefault="00396D16" w:rsidP="00D867C7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vertAlign w:val="superscript"/>
              </w:rPr>
              <w:t>/wymagany elektroniczny podpis kwalifikowany, podpis zaufany lub podpis osobisty/</w:t>
            </w:r>
          </w:p>
        </w:tc>
      </w:tr>
    </w:tbl>
    <w:p w:rsidR="00D05878" w:rsidRPr="00E43124" w:rsidRDefault="00D05878" w:rsidP="00396D16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pl-PL"/>
        </w:rPr>
      </w:pPr>
    </w:p>
    <w:sectPr w:rsidR="00D05878" w:rsidRPr="00E43124" w:rsidSect="002E6DD2">
      <w:headerReference w:type="default" r:id="rId8"/>
      <w:footerReference w:type="default" r:id="rId9"/>
      <w:headerReference w:type="first" r:id="rId10"/>
      <w:pgSz w:w="11906" w:h="16838"/>
      <w:pgMar w:top="709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083" w:rsidRDefault="00901083">
      <w:r>
        <w:separator/>
      </w:r>
    </w:p>
  </w:endnote>
  <w:endnote w:type="continuationSeparator" w:id="0">
    <w:p w:rsidR="00901083" w:rsidRDefault="0090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083" w:rsidRDefault="00901083">
      <w:r>
        <w:separator/>
      </w:r>
    </w:p>
  </w:footnote>
  <w:footnote w:type="continuationSeparator" w:id="0">
    <w:p w:rsidR="00901083" w:rsidRDefault="00901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243" w:rsidRPr="00A551CB" w:rsidRDefault="008B5243" w:rsidP="008B5243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Muzeum II Wojny Światowej w Gdańsku                                                            </w:t>
    </w:r>
    <w:r w:rsidRPr="00A66475">
      <w:rPr>
        <w:sz w:val="16"/>
      </w:rPr>
      <w:tab/>
      <w:t xml:space="preserve">Znak sprawy: </w:t>
    </w:r>
    <w:r>
      <w:rPr>
        <w:sz w:val="16"/>
      </w:rPr>
      <w:t>PA.280.</w:t>
    </w:r>
    <w:r w:rsidR="00183044">
      <w:rPr>
        <w:sz w:val="16"/>
      </w:rPr>
      <w:t>10</w:t>
    </w:r>
    <w:r>
      <w:rPr>
        <w:sz w:val="16"/>
      </w:rPr>
      <w:t>(1).2022</w:t>
    </w:r>
  </w:p>
  <w:p w:rsidR="008B5243" w:rsidRDefault="008B5243">
    <w:pPr>
      <w:pStyle w:val="Nagwek"/>
    </w:pPr>
  </w:p>
  <w:p w:rsidR="008B5243" w:rsidRDefault="008B5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1DD4B320"/>
    <w:lvl w:ilvl="0" w:tplc="69E85ACE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3044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E6DD2"/>
    <w:rsid w:val="002F7B60"/>
    <w:rsid w:val="003037CB"/>
    <w:rsid w:val="00311FDF"/>
    <w:rsid w:val="00344D73"/>
    <w:rsid w:val="003450F9"/>
    <w:rsid w:val="00361518"/>
    <w:rsid w:val="00365771"/>
    <w:rsid w:val="00396D16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E707D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E20F6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15F2B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97311"/>
    <w:rsid w:val="00897E49"/>
    <w:rsid w:val="008B04A8"/>
    <w:rsid w:val="008B5243"/>
    <w:rsid w:val="008C0B23"/>
    <w:rsid w:val="008D2962"/>
    <w:rsid w:val="008D62FE"/>
    <w:rsid w:val="008E6132"/>
    <w:rsid w:val="008E6C71"/>
    <w:rsid w:val="008F6F5D"/>
    <w:rsid w:val="00901083"/>
    <w:rsid w:val="00912B0D"/>
    <w:rsid w:val="00920B1A"/>
    <w:rsid w:val="009220C9"/>
    <w:rsid w:val="00924201"/>
    <w:rsid w:val="00925F59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3778"/>
    <w:rsid w:val="009B674C"/>
    <w:rsid w:val="009D0601"/>
    <w:rsid w:val="009D27ED"/>
    <w:rsid w:val="009F1FCD"/>
    <w:rsid w:val="00A00769"/>
    <w:rsid w:val="00A10153"/>
    <w:rsid w:val="00A518DA"/>
    <w:rsid w:val="00A56DF3"/>
    <w:rsid w:val="00A67025"/>
    <w:rsid w:val="00A67E63"/>
    <w:rsid w:val="00A73013"/>
    <w:rsid w:val="00A8361C"/>
    <w:rsid w:val="00AA016D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042C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09D5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43124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383E"/>
    <w:rsid w:val="00F14518"/>
    <w:rsid w:val="00F2104B"/>
    <w:rsid w:val="00F277C5"/>
    <w:rsid w:val="00F35C0C"/>
    <w:rsid w:val="00F43030"/>
    <w:rsid w:val="00F51270"/>
    <w:rsid w:val="00F63F8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8B90C"/>
  <w15:docId w15:val="{398D79A4-5B17-4D83-9C51-D1F160C8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unhideWhenUsed/>
    <w:rsid w:val="00F63F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63F80"/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4E707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E707D"/>
    <w:rPr>
      <w:color w:val="0000FF"/>
      <w:u w:val="single"/>
    </w:rPr>
  </w:style>
  <w:style w:type="paragraph" w:customStyle="1" w:styleId="WW-header">
    <w:name w:val="WW-header"/>
    <w:basedOn w:val="Normalny"/>
    <w:next w:val="Tekstpodstawowy"/>
    <w:rsid w:val="008B5243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46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42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4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8753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463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9417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1FE1-62A9-4297-97F3-8CD5665E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Karolina Chajbos</cp:lastModifiedBy>
  <cp:revision>5</cp:revision>
  <cp:lastPrinted>2022-04-21T07:21:00Z</cp:lastPrinted>
  <dcterms:created xsi:type="dcterms:W3CDTF">2022-05-23T10:19:00Z</dcterms:created>
  <dcterms:modified xsi:type="dcterms:W3CDTF">2022-05-23T10:21:00Z</dcterms:modified>
</cp:coreProperties>
</file>