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523D3" w14:textId="77777777" w:rsidR="001639DE" w:rsidRDefault="00230187" w:rsidP="001639D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>
        <w:rPr>
          <w:rFonts w:ascii="Verdana" w:hAnsi="Verdana" w:cs="Calibri Light"/>
          <w:szCs w:val="22"/>
        </w:rPr>
        <w:t xml:space="preserve"> </w:t>
      </w:r>
      <w:r w:rsidR="001639DE">
        <w:rPr>
          <w:rFonts w:ascii="Arial Black" w:hAnsi="Arial Black"/>
          <w:bCs/>
          <w:sz w:val="18"/>
          <w:szCs w:val="18"/>
        </w:rPr>
        <w:t>Zakres nr 2 - Dofinansowanie zakupu sprzętu z dziedziny intensywnej terapii stosowanego w opiece na pacjentami kardiologicznymi w 2023r w ramach programu wieloletniego pn. Narodowy Program Chorób Układu Krążenia na lata 2022-2032.</w:t>
      </w:r>
      <w:r w:rsidR="001639DE">
        <w:rPr>
          <w:rFonts w:ascii="Arial Black" w:hAnsi="Arial Black" w:cs="Calibri Light"/>
          <w:bCs/>
          <w:noProof/>
          <w:sz w:val="18"/>
          <w:szCs w:val="18"/>
        </w:rPr>
        <w:t xml:space="preserve"> </w:t>
      </w:r>
    </w:p>
    <w:p w14:paraId="2FEC1B56" w14:textId="77777777" w:rsidR="001639DE" w:rsidRPr="00E270C8" w:rsidRDefault="001639DE" w:rsidP="001639D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 w:rsidRPr="003168B5">
        <w:rPr>
          <w:rFonts w:ascii="Verdana" w:hAnsi="Verdana"/>
          <w:bCs/>
          <w:sz w:val="20"/>
        </w:rPr>
        <w:t xml:space="preserve">Na realizację Narodowego Programu Chorób Układu Krążenia na lata 2022-2032 w zakresie dofinansowania zakupu </w:t>
      </w:r>
      <w:r w:rsidRPr="00C66EC8">
        <w:rPr>
          <w:rFonts w:ascii="Verdana" w:hAnsi="Verdana"/>
          <w:bCs/>
          <w:sz w:val="20"/>
          <w:u w:val="single"/>
        </w:rPr>
        <w:t>sprzętu z dziedziny intensywnej terapii stosowanego w opiece na pacjentami kardiologicznymi w 2023</w:t>
      </w:r>
      <w:r w:rsidRPr="00A15B35">
        <w:rPr>
          <w:rFonts w:ascii="Verdana" w:hAnsi="Verdana"/>
          <w:bCs/>
          <w:sz w:val="20"/>
        </w:rPr>
        <w:t xml:space="preserve"> r</w:t>
      </w:r>
      <w:r>
        <w:rPr>
          <w:rFonts w:ascii="Arial Black" w:hAnsi="Arial Black" w:cs="Calibri Light"/>
          <w:bCs/>
          <w:noProof/>
          <w:sz w:val="18"/>
          <w:szCs w:val="18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>-</w:t>
      </w:r>
      <w:r>
        <w:rPr>
          <w:rFonts w:ascii="Arial Black" w:hAnsi="Arial Black"/>
          <w:color w:val="FF0000"/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 xml:space="preserve">umowa z Ministrem Zdrowia </w:t>
      </w:r>
    </w:p>
    <w:p w14:paraId="55989141" w14:textId="0FE1893D" w:rsidR="00877678" w:rsidRPr="00765A75" w:rsidRDefault="00877678" w:rsidP="00877678">
      <w:pPr>
        <w:rPr>
          <w:rFonts w:ascii="Arial Black" w:hAnsi="Arial Black"/>
        </w:rPr>
      </w:pPr>
    </w:p>
    <w:p w14:paraId="05075C42" w14:textId="5909577C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121E417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511F6519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1733E5">
        <w:rPr>
          <w:rFonts w:ascii="Arial Black" w:hAnsi="Arial Black" w:cs="Arial"/>
          <w:b/>
          <w:bCs/>
          <w:color w:val="0000FF"/>
          <w:sz w:val="19"/>
          <w:szCs w:val="19"/>
        </w:rPr>
        <w:t>80</w:t>
      </w:r>
      <w:r w:rsidRPr="008E66CE">
        <w:rPr>
          <w:rFonts w:ascii="Arial Black" w:hAnsi="Arial Black" w:cs="Arial"/>
          <w:b/>
          <w:bCs/>
          <w:color w:val="0000FF"/>
          <w:sz w:val="19"/>
          <w:szCs w:val="19"/>
        </w:rPr>
        <w:t>/2023</w:t>
      </w:r>
      <w:r w:rsidRPr="008E66CE">
        <w:rPr>
          <w:rFonts w:ascii="Arial Black" w:hAnsi="Arial Black" w:cs="Arial"/>
          <w:sz w:val="19"/>
          <w:szCs w:val="19"/>
        </w:rPr>
        <w:t xml:space="preserve"> o</w:t>
      </w:r>
      <w:r w:rsidRPr="00993FA5">
        <w:rPr>
          <w:rFonts w:ascii="Arial" w:hAnsi="Arial" w:cs="Arial"/>
          <w:sz w:val="19"/>
          <w:szCs w:val="19"/>
        </w:rPr>
        <w:t>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20A79CB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1639DE">
        <w:rPr>
          <w:rFonts w:ascii="Verdana Pro Black" w:hAnsi="Verdana Pro Black"/>
          <w:b/>
          <w:bCs/>
          <w:sz w:val="28"/>
          <w:szCs w:val="28"/>
        </w:rPr>
        <w:t>K</w:t>
      </w:r>
      <w:r w:rsidR="001639DE">
        <w:rPr>
          <w:rFonts w:ascii="Verdana Pro Black" w:hAnsi="Verdana Pro Black"/>
          <w:b/>
          <w:bCs/>
        </w:rPr>
        <w:t>ARDIOMONITORY</w:t>
      </w:r>
      <w:r w:rsidR="00936942">
        <w:rPr>
          <w:rFonts w:ascii="Verdana" w:hAnsi="Verdana" w:cs="Arial"/>
          <w:b/>
          <w:bCs/>
          <w:color w:val="0000FF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bookmarkEnd w:id="0"/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1639DE">
        <w:rPr>
          <w:rFonts w:ascii="Calibri Light" w:eastAsia="Arial" w:hAnsi="Calibri Light" w:cs="Calibri Light"/>
          <w:b/>
          <w:sz w:val="22"/>
          <w:szCs w:val="22"/>
        </w:rPr>
        <w:t>2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proofErr w:type="spellStart"/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proofErr w:type="spellEnd"/>
      <w:r w:rsidR="00AB0BC9">
        <w:rPr>
          <w:rFonts w:ascii="Calibri Light" w:eastAsia="Arial" w:hAnsi="Calibri Light" w:cs="Calibri Light"/>
          <w:b/>
          <w:sz w:val="22"/>
          <w:szCs w:val="22"/>
        </w:rPr>
        <w:t>/</w:t>
      </w:r>
      <w:proofErr w:type="spellStart"/>
      <w:r w:rsidR="00AB0BC9">
        <w:rPr>
          <w:rFonts w:ascii="Calibri Light" w:eastAsia="Arial" w:hAnsi="Calibri Light" w:cs="Calibri Light"/>
          <w:b/>
          <w:sz w:val="22"/>
          <w:szCs w:val="22"/>
        </w:rPr>
        <w:t>kpl</w:t>
      </w:r>
      <w:proofErr w:type="spellEnd"/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6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lastRenderedPageBreak/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508A4877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</w:t>
      </w:r>
      <w:r w:rsidR="00AB0BC9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810856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25DD2BBC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</w:t>
      </w:r>
      <w:r w:rsidR="00E8382C">
        <w:rPr>
          <w:rFonts w:ascii="Verdana" w:eastAsia="Arial" w:hAnsi="Verdana" w:cs="Calibri Light"/>
          <w:bCs/>
          <w:color w:val="FF0000"/>
          <w:sz w:val="18"/>
          <w:szCs w:val="18"/>
        </w:rPr>
        <w:t>2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46C3A4B1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E8382C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0EF489DB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="0093694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E5947BE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w terminie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maksymalnie do 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2</w:t>
      </w:r>
      <w:r w:rsidR="00936942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9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 xml:space="preserve"> Grudnia 2023r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5B204984" w:rsidR="00230187" w:rsidRPr="00EB2F8E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b) </w:t>
      </w:r>
      <w:r w:rsidR="00EB2F8E"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w przypadku zwłoki w wykonaniu obowiązków opisanych w § 2 ust. 1 przekraczającej okres 3 dni, po uprzednim wezwaniu i wyznaczeniu dodatkowego terminu minimum 5 dni roboczych na wykonanie obowiązków przedstawionych w postanowieniu</w:t>
      </w:r>
      <w:r w:rsidR="00EB2F8E"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. </w:t>
      </w:r>
    </w:p>
    <w:p w14:paraId="6CAF3DC2" w14:textId="279F5A96" w:rsidR="00EB2F8E" w:rsidRPr="00EB2F8E" w:rsidRDefault="00230187" w:rsidP="00230187">
      <w:pPr>
        <w:tabs>
          <w:tab w:val="left" w:pos="720"/>
        </w:tabs>
        <w:autoSpaceDE w:val="0"/>
        <w:jc w:val="both"/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c)</w:t>
      </w:r>
      <w:r w:rsidR="00EB2F8E"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EB2F8E" w:rsidRPr="00EB2F8E">
        <w:rPr>
          <w:rFonts w:ascii="Calibri Light" w:hAnsi="Calibri Light" w:cs="Calibri Light"/>
          <w:b/>
          <w:bCs/>
          <w:color w:val="FF0000"/>
          <w:sz w:val="22"/>
          <w:szCs w:val="22"/>
        </w:rPr>
        <w:t>w przypadku  zwłoki w wykonaniu obowiązków opisanych w § 2 ust. 2 przekraczającej okres 3 dni, po uprzednim wezwaniu przez Zamawiającego  i wyznaczeniu dodatkowego terminu minimum 5 dni roboczych  na wykonanie obowiązków przewidzianych treścią postanowienia</w:t>
      </w:r>
    </w:p>
    <w:p w14:paraId="4D68AC09" w14:textId="5E6FBB87" w:rsidR="00230187" w:rsidRPr="00EB2F8E" w:rsidRDefault="00230187" w:rsidP="00EB2F8E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d) </w:t>
      </w:r>
      <w:r w:rsidR="00EB2F8E" w:rsidRPr="00EB2F8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w przypadku   zwłoki w wykonaniu obowiązków wynikających z rękojmi lub gwarancji jakości przekraczającego okres 7 dni, po uprzednim wezwaniu i wyznaczeniu dodatkowego terminu minimum 5 dni roboczych na wykonanie obowiązków przewidzianych treścią postanowienia</w:t>
      </w: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37F64979" w:rsidR="00230187" w:rsidRPr="0083724C" w:rsidRDefault="00230187" w:rsidP="00EB2F8E">
      <w:pPr>
        <w:pStyle w:val="Tekstpodstawowy"/>
        <w:numPr>
          <w:ilvl w:val="0"/>
          <w:numId w:val="26"/>
        </w:numPr>
        <w:tabs>
          <w:tab w:val="left" w:pos="284"/>
        </w:tabs>
        <w:autoSpaceDE w:val="0"/>
        <w:ind w:left="284" w:hanging="284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>Strony ustanawiają odpowiedzialność za niewykonanie lub nienależyte wykonanie zobowiązań umownych w formie kar umownych w następujący przypadkach i wysokościach :</w:t>
      </w:r>
    </w:p>
    <w:p w14:paraId="06822726" w14:textId="14833269" w:rsidR="00230187" w:rsidRPr="0083724C" w:rsidRDefault="00230187" w:rsidP="00EB2F8E">
      <w:pPr>
        <w:pStyle w:val="Tekstpodstawowy"/>
        <w:numPr>
          <w:ilvl w:val="1"/>
          <w:numId w:val="26"/>
        </w:numPr>
        <w:tabs>
          <w:tab w:val="left" w:pos="284"/>
          <w:tab w:val="left" w:pos="1060"/>
        </w:tabs>
        <w:autoSpaceDE w:val="0"/>
        <w:ind w:left="284" w:hanging="284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 xml:space="preserve">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0F226197" w:rsidR="00230187" w:rsidRPr="0083724C" w:rsidRDefault="00230187" w:rsidP="00EB2F8E">
      <w:pPr>
        <w:pStyle w:val="Tekstpodstawowy"/>
        <w:numPr>
          <w:ilvl w:val="1"/>
          <w:numId w:val="26"/>
        </w:numPr>
        <w:tabs>
          <w:tab w:val="left" w:pos="284"/>
          <w:tab w:val="left" w:pos="1060"/>
        </w:tabs>
        <w:autoSpaceDE w:val="0"/>
        <w:ind w:left="284" w:hanging="284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 xml:space="preserve">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3506869E" w:rsidR="00230187" w:rsidRDefault="00230187" w:rsidP="00EB2F8E">
      <w:pPr>
        <w:pStyle w:val="Tekstpodstawowy"/>
        <w:numPr>
          <w:ilvl w:val="0"/>
          <w:numId w:val="26"/>
        </w:numPr>
        <w:tabs>
          <w:tab w:val="left" w:pos="284"/>
        </w:tabs>
        <w:autoSpaceDE w:val="0"/>
        <w:ind w:left="284" w:hanging="284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56672E0B" w:rsidR="00230187" w:rsidRPr="00196B2F" w:rsidRDefault="00230187" w:rsidP="00EB2F8E">
      <w:pPr>
        <w:pStyle w:val="Tekstpodstawowy"/>
        <w:numPr>
          <w:ilvl w:val="0"/>
          <w:numId w:val="26"/>
        </w:numPr>
        <w:tabs>
          <w:tab w:val="left" w:pos="284"/>
        </w:tabs>
        <w:autoSpaceDE w:val="0"/>
        <w:ind w:left="284" w:hanging="284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54596681" w14:textId="44C1FA86" w:rsidR="00230187" w:rsidRPr="00434EEC" w:rsidRDefault="00D9708A" w:rsidP="00EB2F8E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</w:t>
      </w:r>
      <w:r w:rsidR="00EB2F8E" w:rsidRPr="00EB2F8E">
        <w:t xml:space="preserve"> </w:t>
      </w:r>
      <w:r w:rsidR="00EB2F8E" w:rsidRPr="00EB2F8E">
        <w:rPr>
          <w:rFonts w:ascii="Calibri" w:hAnsi="Calibri" w:cs="Arial"/>
          <w:b/>
          <w:bCs/>
          <w:color w:val="FF0000"/>
          <w:sz w:val="22"/>
          <w:szCs w:val="22"/>
        </w:rPr>
        <w:t>Ani naprawa istotna, ani wymiana urządzenia, ani wymiana części, modułu lub podzespołu w trakcie usuwania wady nie powodują wznowienia okresu gwarancji, jednak jej termin ulega przedłużeniu o czas trwania naprawy ponad terminy określone w umowie o liczbę dni wyłączenia sprzętu z eksploatacji</w:t>
      </w:r>
      <w:r w:rsidR="00230187" w:rsidRPr="00EB2F8E">
        <w:rPr>
          <w:rFonts w:ascii="Calibri" w:hAnsi="Calibri" w:cs="Arial"/>
          <w:b/>
          <w:bCs/>
          <w:color w:val="FF0000"/>
          <w:sz w:val="22"/>
          <w:szCs w:val="22"/>
        </w:rPr>
        <w:t>.</w:t>
      </w:r>
      <w:r w:rsidR="00EB2F8E" w:rsidRPr="00EB2F8E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 w:rsidR="00230187">
        <w:rPr>
          <w:rFonts w:ascii="Calibri" w:hAnsi="Calibri" w:cs="Arial"/>
          <w:sz w:val="22"/>
          <w:szCs w:val="22"/>
        </w:rPr>
        <w:t>y sprzęt</w:t>
      </w:r>
      <w:r w:rsidR="00230187"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 w:rsidR="00230187">
        <w:rPr>
          <w:rFonts w:ascii="Calibri" w:hAnsi="Calibri" w:cs="Arial"/>
          <w:sz w:val="22"/>
          <w:szCs w:val="22"/>
        </w:rPr>
        <w:t>sprzęcie</w:t>
      </w:r>
      <w:r w:rsidR="00230187"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EB2F8E" w:rsidRDefault="00230187" w:rsidP="00EB2F8E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EB2F8E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EB2F8E">
      <w:pPr>
        <w:pStyle w:val="Akapitzlist"/>
        <w:widowControl/>
        <w:numPr>
          <w:ilvl w:val="1"/>
          <w:numId w:val="6"/>
        </w:numPr>
        <w:tabs>
          <w:tab w:val="left" w:pos="284"/>
        </w:tabs>
        <w:suppressAutoHyphens w:val="0"/>
        <w:ind w:left="0" w:firstLine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EB2F8E">
      <w:pPr>
        <w:pStyle w:val="Akapitzlist"/>
        <w:widowControl/>
        <w:numPr>
          <w:ilvl w:val="1"/>
          <w:numId w:val="6"/>
        </w:numPr>
        <w:tabs>
          <w:tab w:val="left" w:pos="284"/>
        </w:tabs>
        <w:suppressAutoHyphens w:val="0"/>
        <w:ind w:left="0" w:firstLine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lastRenderedPageBreak/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EB2F8E">
      <w:pPr>
        <w:pStyle w:val="Akapitzlist"/>
        <w:widowControl/>
        <w:tabs>
          <w:tab w:val="left" w:pos="284"/>
        </w:tabs>
        <w:suppressAutoHyphens w:val="0"/>
        <w:ind w:left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EB2F8E">
      <w:pPr>
        <w:pStyle w:val="NormalnyWeb"/>
        <w:tabs>
          <w:tab w:val="left" w:pos="284"/>
          <w:tab w:val="left" w:pos="360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79509A87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 w:rsidR="00EB2F8E" w:rsidRPr="00EB2F8E">
        <w:rPr>
          <w:rFonts w:ascii="Calibri" w:eastAsia="Arial" w:hAnsi="Calibri" w:cs="Arial"/>
          <w:color w:val="000000"/>
          <w:sz w:val="22"/>
          <w:szCs w:val="22"/>
        </w:rPr>
        <w:t>Naprawa przedmiotu umowy powinna być wykonana w ciągu 5 dni roboczych od dnia otrzymania zgłoszenia a w przypadku, gdy naprawa wymaga sprowadzenia nowych elementów w terminie 10 dni roboczych od otrzymania zgłoszenia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</w:t>
      </w:r>
      <w:r w:rsidRPr="0083724C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EB2F8E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EB2F8E">
      <w:pPr>
        <w:pStyle w:val="Akapitzlist"/>
        <w:widowControl/>
        <w:tabs>
          <w:tab w:val="left" w:pos="284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EB2F8E">
      <w:pPr>
        <w:pStyle w:val="Akapitzlist"/>
        <w:widowControl/>
        <w:tabs>
          <w:tab w:val="left" w:pos="284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EB2F8E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 w:rsidSect="00EB2F8E">
      <w:footerReference w:type="default" r:id="rId8"/>
      <w:pgSz w:w="11906" w:h="16838"/>
      <w:pgMar w:top="1417" w:right="1417" w:bottom="1417" w:left="1560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1C93" w14:textId="77777777" w:rsidR="00E45FCE" w:rsidRDefault="00E45FCE">
      <w:r>
        <w:separator/>
      </w:r>
    </w:p>
  </w:endnote>
  <w:endnote w:type="continuationSeparator" w:id="0">
    <w:p w14:paraId="762E4622" w14:textId="77777777" w:rsidR="00E45FCE" w:rsidRDefault="00E4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31EF" w14:textId="77777777" w:rsidR="00E45FCE" w:rsidRDefault="00E45FCE">
      <w:r>
        <w:separator/>
      </w:r>
    </w:p>
  </w:footnote>
  <w:footnote w:type="continuationSeparator" w:id="0">
    <w:p w14:paraId="1D74441B" w14:textId="77777777" w:rsidR="00E45FCE" w:rsidRDefault="00E4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9E67B7F"/>
    <w:multiLevelType w:val="hybridMultilevel"/>
    <w:tmpl w:val="31B45242"/>
    <w:lvl w:ilvl="0" w:tplc="DB3AED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C1C324A"/>
    <w:multiLevelType w:val="hybridMultilevel"/>
    <w:tmpl w:val="A87419B0"/>
    <w:lvl w:ilvl="0" w:tplc="B6988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A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20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8"/>
  </w:num>
  <w:num w:numId="10" w16cid:durableId="2142307723">
    <w:abstractNumId w:val="23"/>
  </w:num>
  <w:num w:numId="11" w16cid:durableId="1017460880">
    <w:abstractNumId w:val="17"/>
  </w:num>
  <w:num w:numId="12" w16cid:durableId="1835536590">
    <w:abstractNumId w:val="21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6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9"/>
  </w:num>
  <w:num w:numId="24" w16cid:durableId="2114661951">
    <w:abstractNumId w:val="22"/>
  </w:num>
  <w:num w:numId="25" w16cid:durableId="1435592236">
    <w:abstractNumId w:val="1"/>
    <w:lvlOverride w:ilvl="0">
      <w:startOverride w:val="1"/>
    </w:lvlOverride>
  </w:num>
  <w:num w:numId="26" w16cid:durableId="1547567168">
    <w:abstractNumId w:val="16"/>
  </w:num>
  <w:num w:numId="27" w16cid:durableId="175231434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6B7A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39DE"/>
    <w:rsid w:val="00166470"/>
    <w:rsid w:val="00173063"/>
    <w:rsid w:val="001733E5"/>
    <w:rsid w:val="0017499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00AF0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7CF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2D89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77C85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37608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65F1"/>
    <w:rsid w:val="00802B77"/>
    <w:rsid w:val="00803F05"/>
    <w:rsid w:val="00805A6C"/>
    <w:rsid w:val="00806D3F"/>
    <w:rsid w:val="00807C6B"/>
    <w:rsid w:val="00810856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67E5"/>
    <w:rsid w:val="008B6533"/>
    <w:rsid w:val="008C1487"/>
    <w:rsid w:val="008D5847"/>
    <w:rsid w:val="008E1181"/>
    <w:rsid w:val="008E66CE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942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DD9"/>
    <w:rsid w:val="00BA5D1B"/>
    <w:rsid w:val="00BB1D80"/>
    <w:rsid w:val="00BB773E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4709"/>
    <w:rsid w:val="00C95E2A"/>
    <w:rsid w:val="00CA63E4"/>
    <w:rsid w:val="00CB2DF2"/>
    <w:rsid w:val="00CC0A35"/>
    <w:rsid w:val="00CC610E"/>
    <w:rsid w:val="00CD151D"/>
    <w:rsid w:val="00CD6EDB"/>
    <w:rsid w:val="00CE37A4"/>
    <w:rsid w:val="00CE3922"/>
    <w:rsid w:val="00CF261C"/>
    <w:rsid w:val="00D222D2"/>
    <w:rsid w:val="00D315AB"/>
    <w:rsid w:val="00D376D0"/>
    <w:rsid w:val="00D376D9"/>
    <w:rsid w:val="00D4036D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3133"/>
    <w:rsid w:val="00E3527D"/>
    <w:rsid w:val="00E3746C"/>
    <w:rsid w:val="00E445F0"/>
    <w:rsid w:val="00E45FCE"/>
    <w:rsid w:val="00E473A2"/>
    <w:rsid w:val="00E47CE4"/>
    <w:rsid w:val="00E51971"/>
    <w:rsid w:val="00E530C9"/>
    <w:rsid w:val="00E55416"/>
    <w:rsid w:val="00E60388"/>
    <w:rsid w:val="00E65EAC"/>
    <w:rsid w:val="00E728BF"/>
    <w:rsid w:val="00E733A5"/>
    <w:rsid w:val="00E7546D"/>
    <w:rsid w:val="00E8175C"/>
    <w:rsid w:val="00E8382C"/>
    <w:rsid w:val="00E90EDF"/>
    <w:rsid w:val="00E94DE4"/>
    <w:rsid w:val="00E9559A"/>
    <w:rsid w:val="00E959D5"/>
    <w:rsid w:val="00E96A5B"/>
    <w:rsid w:val="00EB0DA1"/>
    <w:rsid w:val="00EB1DF7"/>
    <w:rsid w:val="00EB2F8E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Logistyka12</cp:lastModifiedBy>
  <cp:revision>290</cp:revision>
  <cp:lastPrinted>2023-10-18T08:55:00Z</cp:lastPrinted>
  <dcterms:created xsi:type="dcterms:W3CDTF">2020-05-28T06:55:00Z</dcterms:created>
  <dcterms:modified xsi:type="dcterms:W3CDTF">2023-11-13T13:26:00Z</dcterms:modified>
</cp:coreProperties>
</file>