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B2768EF" w:rsidR="00A074A6" w:rsidRPr="00EE008E" w:rsidRDefault="00A074A6" w:rsidP="00EE008E">
      <w:pPr>
        <w:widowControl w:val="0"/>
        <w:rPr>
          <w:rFonts w:asciiTheme="majorHAnsi" w:eastAsia="Times New Roman" w:hAnsiTheme="majorHAnsi" w:cstheme="majorHAnsi"/>
          <w:snapToGrid w:val="0"/>
          <w:lang w:val="pl-PL"/>
        </w:rPr>
      </w:pPr>
      <w:r w:rsidRPr="00EE008E">
        <w:rPr>
          <w:rFonts w:asciiTheme="majorHAnsi" w:eastAsia="Times New Roman" w:hAnsiTheme="majorHAnsi" w:cstheme="majorHAnsi"/>
          <w:snapToGrid w:val="0"/>
          <w:lang w:val="pl-PL"/>
        </w:rPr>
        <w:t xml:space="preserve">Nakło n. Not., dnia </w:t>
      </w:r>
      <w:r w:rsidR="00A44B13" w:rsidRPr="00EE008E">
        <w:rPr>
          <w:rFonts w:asciiTheme="majorHAnsi" w:eastAsia="Times New Roman" w:hAnsiTheme="majorHAnsi" w:cstheme="majorHAnsi"/>
          <w:snapToGrid w:val="0"/>
          <w:lang w:val="pl-PL"/>
        </w:rPr>
        <w:t>2</w:t>
      </w:r>
      <w:r w:rsidR="00EE008E" w:rsidRPr="00EE008E">
        <w:rPr>
          <w:rFonts w:asciiTheme="majorHAnsi" w:eastAsia="Times New Roman" w:hAnsiTheme="majorHAnsi" w:cstheme="majorHAnsi"/>
          <w:snapToGrid w:val="0"/>
          <w:lang w:val="pl-PL"/>
        </w:rPr>
        <w:t>8</w:t>
      </w:r>
      <w:r w:rsidRPr="00EE008E">
        <w:rPr>
          <w:rFonts w:asciiTheme="majorHAnsi" w:eastAsia="Times New Roman" w:hAnsiTheme="majorHAnsi" w:cstheme="majorHAnsi"/>
          <w:snapToGrid w:val="0"/>
          <w:lang w:val="pl-PL"/>
        </w:rPr>
        <w:t>.</w:t>
      </w:r>
      <w:r w:rsidR="004636A1" w:rsidRPr="00EE008E">
        <w:rPr>
          <w:rFonts w:asciiTheme="majorHAnsi" w:eastAsia="Times New Roman" w:hAnsiTheme="majorHAnsi" w:cstheme="majorHAnsi"/>
          <w:snapToGrid w:val="0"/>
          <w:lang w:val="pl-PL"/>
        </w:rPr>
        <w:t>1</w:t>
      </w:r>
      <w:r w:rsidR="00A44B13" w:rsidRPr="00EE008E">
        <w:rPr>
          <w:rFonts w:asciiTheme="majorHAnsi" w:eastAsia="Times New Roman" w:hAnsiTheme="majorHAnsi" w:cstheme="majorHAnsi"/>
          <w:snapToGrid w:val="0"/>
          <w:lang w:val="pl-PL"/>
        </w:rPr>
        <w:t>1</w:t>
      </w:r>
      <w:r w:rsidRPr="00EE008E">
        <w:rPr>
          <w:rFonts w:asciiTheme="majorHAnsi" w:eastAsia="Times New Roman" w:hAnsiTheme="majorHAnsi" w:cstheme="majorHAnsi"/>
          <w:snapToGrid w:val="0"/>
          <w:lang w:val="pl-PL"/>
        </w:rPr>
        <w:t>.202</w:t>
      </w:r>
      <w:r w:rsidR="00042F79" w:rsidRPr="00EE008E">
        <w:rPr>
          <w:rFonts w:asciiTheme="majorHAnsi" w:eastAsia="Times New Roman" w:hAnsiTheme="majorHAnsi" w:cstheme="majorHAnsi"/>
          <w:snapToGrid w:val="0"/>
          <w:lang w:val="pl-PL"/>
        </w:rPr>
        <w:t>3</w:t>
      </w:r>
      <w:r w:rsidRPr="00EE008E">
        <w:rPr>
          <w:rFonts w:asciiTheme="majorHAnsi" w:eastAsia="Times New Roman" w:hAnsiTheme="majorHAnsi" w:cstheme="majorHAnsi"/>
          <w:snapToGrid w:val="0"/>
          <w:lang w:val="pl-PL"/>
        </w:rPr>
        <w:t xml:space="preserve"> r.</w:t>
      </w:r>
    </w:p>
    <w:p w14:paraId="238540E3" w14:textId="39881D00" w:rsidR="00A074A6" w:rsidRPr="00EE008E" w:rsidRDefault="00A074A6" w:rsidP="00EE008E">
      <w:pPr>
        <w:widowControl w:val="0"/>
        <w:rPr>
          <w:rFonts w:asciiTheme="majorHAnsi" w:eastAsia="Times New Roman" w:hAnsiTheme="majorHAnsi" w:cstheme="majorHAnsi"/>
          <w:snapToGrid w:val="0"/>
          <w:lang w:val="pl-PL"/>
        </w:rPr>
      </w:pPr>
      <w:r w:rsidRPr="00EE008E">
        <w:rPr>
          <w:rFonts w:asciiTheme="majorHAnsi" w:eastAsia="Times New Roman" w:hAnsiTheme="majorHAnsi" w:cstheme="majorHAnsi"/>
          <w:snapToGrid w:val="0"/>
          <w:lang w:val="pl-PL"/>
        </w:rPr>
        <w:t>OWO.272.</w:t>
      </w:r>
      <w:r w:rsidR="004636A1" w:rsidRPr="00EE008E">
        <w:rPr>
          <w:rFonts w:asciiTheme="majorHAnsi" w:eastAsia="Times New Roman" w:hAnsiTheme="majorHAnsi" w:cstheme="majorHAnsi"/>
          <w:snapToGrid w:val="0"/>
          <w:lang w:val="pl-PL"/>
        </w:rPr>
        <w:t>1</w:t>
      </w:r>
      <w:r w:rsidR="00A44B13" w:rsidRPr="00EE008E">
        <w:rPr>
          <w:rFonts w:asciiTheme="majorHAnsi" w:eastAsia="Times New Roman" w:hAnsiTheme="majorHAnsi" w:cstheme="majorHAnsi"/>
          <w:snapToGrid w:val="0"/>
          <w:lang w:val="pl-PL"/>
        </w:rPr>
        <w:t>2</w:t>
      </w:r>
      <w:r w:rsidRPr="00EE008E">
        <w:rPr>
          <w:rFonts w:asciiTheme="majorHAnsi" w:eastAsia="Times New Roman" w:hAnsiTheme="majorHAnsi" w:cstheme="majorHAnsi"/>
          <w:snapToGrid w:val="0"/>
          <w:lang w:val="pl-PL"/>
        </w:rPr>
        <w:t>.202</w:t>
      </w:r>
      <w:r w:rsidR="00EC6058" w:rsidRPr="00EE008E">
        <w:rPr>
          <w:rFonts w:asciiTheme="majorHAnsi" w:eastAsia="Times New Roman" w:hAnsiTheme="majorHAnsi" w:cstheme="majorHAnsi"/>
          <w:snapToGrid w:val="0"/>
          <w:lang w:val="pl-PL"/>
        </w:rPr>
        <w:t>3</w:t>
      </w:r>
    </w:p>
    <w:p w14:paraId="60B08F7F" w14:textId="77777777" w:rsidR="00A074A6" w:rsidRPr="00EE008E" w:rsidRDefault="00A074A6" w:rsidP="00EE008E">
      <w:pPr>
        <w:rPr>
          <w:rFonts w:asciiTheme="majorHAnsi" w:eastAsia="Times New Roman" w:hAnsiTheme="majorHAnsi" w:cstheme="majorHAnsi"/>
          <w:bCs/>
          <w:snapToGrid w:val="0"/>
          <w:lang w:val="pl-PL"/>
        </w:rPr>
      </w:pPr>
    </w:p>
    <w:p w14:paraId="29852848" w14:textId="21D9A202" w:rsidR="00A074A6" w:rsidRPr="00EE008E" w:rsidRDefault="00A074A6" w:rsidP="00EE008E">
      <w:pPr>
        <w:autoSpaceDE w:val="0"/>
        <w:autoSpaceDN w:val="0"/>
        <w:jc w:val="center"/>
        <w:rPr>
          <w:rFonts w:asciiTheme="majorHAnsi" w:eastAsia="Calibri" w:hAnsiTheme="majorHAnsi" w:cstheme="majorHAnsi"/>
          <w:b/>
          <w:bCs/>
          <w:lang w:val="pl-PL"/>
        </w:rPr>
      </w:pPr>
      <w:r w:rsidRPr="00EE008E">
        <w:rPr>
          <w:rFonts w:asciiTheme="majorHAnsi" w:eastAsia="Calibri" w:hAnsiTheme="majorHAnsi" w:cstheme="majorHAnsi"/>
          <w:b/>
          <w:bCs/>
          <w:lang w:val="pl-PL"/>
        </w:rPr>
        <w:t>INFORMACJA</w:t>
      </w:r>
    </w:p>
    <w:p w14:paraId="746728B2" w14:textId="77777777" w:rsidR="00A074A6" w:rsidRPr="00EE008E" w:rsidRDefault="00A074A6" w:rsidP="00EE008E">
      <w:pPr>
        <w:jc w:val="both"/>
        <w:rPr>
          <w:rFonts w:asciiTheme="majorHAnsi" w:eastAsia="Times New Roman" w:hAnsiTheme="majorHAnsi" w:cstheme="majorHAnsi"/>
          <w:b/>
          <w:lang w:val="pl-PL"/>
        </w:rPr>
      </w:pPr>
    </w:p>
    <w:p w14:paraId="34912D00" w14:textId="5DB932EF" w:rsidR="00A074A6" w:rsidRPr="00EE008E" w:rsidRDefault="00A074A6" w:rsidP="00EE008E">
      <w:pPr>
        <w:jc w:val="both"/>
        <w:rPr>
          <w:rFonts w:asciiTheme="majorHAnsi" w:eastAsia="Calibri" w:hAnsiTheme="majorHAnsi" w:cstheme="majorHAnsi"/>
          <w:lang w:val="pl-PL" w:eastAsia="en-US"/>
        </w:rPr>
      </w:pPr>
      <w:r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Dotyczy postępowania pn.: </w:t>
      </w:r>
      <w:r w:rsidR="004636A1" w:rsidRPr="00EE008E">
        <w:rPr>
          <w:rFonts w:asciiTheme="majorHAnsi" w:hAnsiTheme="majorHAnsi" w:cstheme="majorHAnsi"/>
          <w:i/>
          <w:color w:val="000000"/>
        </w:rPr>
        <w:t>Zagospodarowanie terenu na Przystani Powiat Nakielski poprzez postawienie tężni solankowej</w:t>
      </w:r>
    </w:p>
    <w:p w14:paraId="4078280D" w14:textId="77777777" w:rsidR="00A074A6" w:rsidRPr="00EE008E" w:rsidRDefault="00A074A6" w:rsidP="00EE008E">
      <w:pPr>
        <w:widowControl w:val="0"/>
        <w:jc w:val="both"/>
        <w:rPr>
          <w:rFonts w:asciiTheme="majorHAnsi" w:eastAsia="Times New Roman" w:hAnsiTheme="majorHAnsi" w:cstheme="majorHAnsi"/>
          <w:b/>
          <w:lang w:val="pl-PL"/>
        </w:rPr>
      </w:pPr>
    </w:p>
    <w:p w14:paraId="4B8AA26D" w14:textId="25DD0609" w:rsidR="00A074A6" w:rsidRPr="00EE008E" w:rsidRDefault="00A074A6" w:rsidP="00EE008E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EE008E">
        <w:rPr>
          <w:rFonts w:asciiTheme="majorHAnsi" w:eastAsia="Calibri" w:hAnsiTheme="majorHAnsi" w:cstheme="majorHAnsi"/>
          <w:bCs/>
          <w:lang w:val="pl-PL" w:eastAsia="en-US"/>
        </w:rPr>
        <w:t>Zamawiający informuje, że wykonaw</w:t>
      </w:r>
      <w:r w:rsidR="005276D8" w:rsidRPr="00EE008E">
        <w:rPr>
          <w:rFonts w:asciiTheme="majorHAnsi" w:eastAsia="Calibri" w:hAnsiTheme="majorHAnsi" w:cstheme="majorHAnsi"/>
          <w:bCs/>
          <w:lang w:val="pl-PL" w:eastAsia="en-US"/>
        </w:rPr>
        <w:t>c</w:t>
      </w:r>
      <w:r w:rsidR="004636A1" w:rsidRPr="00EE008E">
        <w:rPr>
          <w:rFonts w:asciiTheme="majorHAnsi" w:eastAsia="Calibri" w:hAnsiTheme="majorHAnsi" w:cstheme="majorHAnsi"/>
          <w:bCs/>
          <w:lang w:val="pl-PL" w:eastAsia="en-US"/>
        </w:rPr>
        <w:t>a</w:t>
      </w:r>
      <w:r w:rsidR="005276D8"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 zwr</w:t>
      </w:r>
      <w:r w:rsidR="004636A1" w:rsidRPr="00EE008E">
        <w:rPr>
          <w:rFonts w:asciiTheme="majorHAnsi" w:eastAsia="Calibri" w:hAnsiTheme="majorHAnsi" w:cstheme="majorHAnsi"/>
          <w:bCs/>
          <w:lang w:val="pl-PL" w:eastAsia="en-US"/>
        </w:rPr>
        <w:t>ócił</w:t>
      </w:r>
      <w:r w:rsidR="005276D8"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 się </w:t>
      </w:r>
      <w:r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do niego </w:t>
      </w:r>
      <w:r w:rsidR="004636A1"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z pismem zawierającym pytania dot. prowadzonego postępowania. </w:t>
      </w:r>
      <w:r w:rsidRPr="00EE008E">
        <w:rPr>
          <w:rFonts w:asciiTheme="majorHAnsi" w:eastAsia="Calibri" w:hAnsiTheme="majorHAnsi" w:cstheme="majorHAnsi"/>
          <w:bCs/>
          <w:lang w:val="pl-PL" w:eastAsia="en-US"/>
        </w:rPr>
        <w:t>W związku z powyższym, działając na podstawie art. 284 ust. 2 ustawy z 11 września 2019 r. – Prawo zamówień publicznych (Dz.U. z 202</w:t>
      </w:r>
      <w:r w:rsidR="004636A1" w:rsidRPr="00EE008E">
        <w:rPr>
          <w:rFonts w:asciiTheme="majorHAnsi" w:eastAsia="Calibri" w:hAnsiTheme="majorHAnsi" w:cstheme="majorHAnsi"/>
          <w:bCs/>
          <w:lang w:val="pl-PL" w:eastAsia="en-US"/>
        </w:rPr>
        <w:t>3</w:t>
      </w:r>
      <w:r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4636A1" w:rsidRPr="00EE008E">
        <w:rPr>
          <w:rFonts w:asciiTheme="majorHAnsi" w:eastAsia="Calibri" w:hAnsiTheme="majorHAnsi" w:cstheme="majorHAnsi"/>
          <w:bCs/>
          <w:lang w:val="pl-PL" w:eastAsia="en-US"/>
        </w:rPr>
        <w:t>605</w:t>
      </w:r>
      <w:r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 ze zm.)</w:t>
      </w:r>
      <w:r w:rsidR="005276D8" w:rsidRPr="00EE008E">
        <w:rPr>
          <w:rFonts w:asciiTheme="majorHAnsi" w:eastAsia="Calibri" w:hAnsiTheme="majorHAnsi" w:cstheme="majorHAnsi"/>
          <w:bCs/>
          <w:lang w:val="pl-PL" w:eastAsia="en-US"/>
        </w:rPr>
        <w:t xml:space="preserve">, </w:t>
      </w:r>
      <w:r w:rsidRPr="00EE008E">
        <w:rPr>
          <w:rFonts w:asciiTheme="majorHAnsi" w:eastAsia="Calibri" w:hAnsiTheme="majorHAnsi" w:cstheme="majorHAnsi"/>
          <w:bCs/>
          <w:lang w:val="pl-PL" w:eastAsia="en-US"/>
        </w:rPr>
        <w:t>zamawiający udziela następujących wyjaśnień:</w:t>
      </w:r>
    </w:p>
    <w:p w14:paraId="2086149A" w14:textId="77777777" w:rsidR="00A074A6" w:rsidRPr="00EE008E" w:rsidRDefault="00A074A6" w:rsidP="00EE008E">
      <w:pPr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2E1A57B8" w14:textId="57F1E2A4" w:rsidR="00AD108A" w:rsidRPr="00EE008E" w:rsidRDefault="004636A1" w:rsidP="00EE008E">
      <w:pPr>
        <w:jc w:val="both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EE008E">
        <w:rPr>
          <w:rFonts w:asciiTheme="majorHAnsi" w:eastAsia="Calibri" w:hAnsiTheme="majorHAnsi" w:cstheme="majorHAnsi"/>
          <w:b/>
          <w:bCs/>
          <w:lang w:val="pl-PL" w:eastAsia="en-US"/>
        </w:rPr>
        <w:t>Treść pisma wykonawcy:</w:t>
      </w:r>
    </w:p>
    <w:p w14:paraId="778D78E9" w14:textId="0772CFC2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 xml:space="preserve">W ogłoszeniu treść wskazuje na propozycję opracowania dokumentacji i budowy tężni solankowej </w:t>
      </w:r>
      <w:r w:rsidRPr="00EE008E">
        <w:rPr>
          <w:rFonts w:asciiTheme="majorHAnsi" w:hAnsiTheme="majorHAnsi" w:cstheme="majorHAnsi"/>
        </w:rPr>
        <w:br/>
        <w:t>z zastosowaniem technologii mokrej opartej na zbiorniku z solanką czyli roztworem wody z solą co stwarza zagrożenie dla korzystających.</w:t>
      </w:r>
    </w:p>
    <w:p w14:paraId="735B0F9C" w14:textId="77777777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Uprzejmie proszę o uważne zapoznanie się z poniższym tekstem i odpowiedź na zadane pytania.</w:t>
      </w:r>
    </w:p>
    <w:p w14:paraId="6A8A3B86" w14:textId="4D1E7D04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 xml:space="preserve">Niestety z dotychczasowych doświadczeń wynika, że w większości założenia projektowe tzw. tężni solankowych zawierają błędy krytyczne, które będą generowały problemy związane </w:t>
      </w:r>
      <w:r w:rsidR="002216DE" w:rsidRPr="00EE008E">
        <w:rPr>
          <w:rFonts w:asciiTheme="majorHAnsi" w:hAnsiTheme="majorHAnsi" w:cstheme="majorHAnsi"/>
        </w:rPr>
        <w:br/>
      </w:r>
      <w:r w:rsidRPr="00EE008E">
        <w:rPr>
          <w:rFonts w:asciiTheme="majorHAnsi" w:hAnsiTheme="majorHAnsi" w:cstheme="majorHAnsi"/>
        </w:rPr>
        <w:t>z bezpieczeństwem dla osób korzystających z obiektu a przyjęte rozwiązania techniczne nie wytworzą oczekiwanej atmosfery. Na straży tego stoją podstawowe prawa fizyki, chemii i biologii. Sól nie paruje, a środowisko wodne sprzyja rozwojowi bakterii, grzybów itp.</w:t>
      </w:r>
    </w:p>
    <w:p w14:paraId="6AD1B25F" w14:textId="77777777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Tężnie solankowe projektowane były jako urządzenia produkcyjne w warzelniach soli konsumpcyjnej do zatężania solanki wykorzystując, że z solanki paruje tylko woda sól nie paruje. Jeśli tężnia solankowa w zamyśle projektanta jest budowana jako inhalatorium, a nie jest wyposażone w urządzenia do wytwarzania aerozolu nie ma najmniejszych szans na spełnienie pokładanych w nich nadziei.</w:t>
      </w:r>
    </w:p>
    <w:p w14:paraId="472A8857" w14:textId="77777777" w:rsidR="00DD0BD8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Tężnie istnieją w świadomości społecznej jako urządzenia uzdrowiskowe. Należy pamiętać, że wiele osób będzie szukało pomocy w związku ze swoimi schorzeniami układu oddechowego. Powinny zatem emitować aerozol i  być bezpieczne</w:t>
      </w:r>
      <w:r w:rsidR="00DD0BD8" w:rsidRPr="00EE008E">
        <w:rPr>
          <w:rFonts w:asciiTheme="majorHAnsi" w:hAnsiTheme="majorHAnsi" w:cstheme="majorHAnsi"/>
        </w:rPr>
        <w:t>.</w:t>
      </w:r>
    </w:p>
    <w:p w14:paraId="5749138D" w14:textId="6F359C35" w:rsidR="00D93DFF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W założeniach projektu często znajdujemy wypełnienie tężni gałęziami tarniny lub witek brzozowych w domyśle stanowiącymi element technologii tj. rozpylania kropli wody podczas grawitacyjnego spadania po gałązkach krzewów. Niestety błąd ten jest powielany w wielu projektach.</w:t>
      </w:r>
    </w:p>
    <w:p w14:paraId="45C09825" w14:textId="77777777" w:rsidR="00D93DFF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Jest to całkowicie błędne założenie projektowe. Jest dokładnie odwrotnie.</w:t>
      </w:r>
    </w:p>
    <w:p w14:paraId="7F4EBB80" w14:textId="77777777" w:rsidR="00AD3466" w:rsidRPr="00EE008E" w:rsidRDefault="00AD3466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46039D8E" w14:textId="56A47CA5" w:rsidR="00AD3466" w:rsidRPr="00EE008E" w:rsidRDefault="00AD3466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EE008E">
        <w:rPr>
          <w:rFonts w:asciiTheme="majorHAnsi" w:hAnsiTheme="majorHAnsi" w:cstheme="majorHAnsi"/>
          <w:b/>
          <w:bCs/>
          <w:i/>
          <w:iCs/>
        </w:rPr>
        <w:t>1. W jaki sposób będzie realnie  wytwarzany aerozol solankowy mając na uwadze fakt, że tarnina ma dokładnie odwrotne zadanie, ma nie dopuszczać do powstawania aerozolu a wiele osób będzie szukało pomocy w związku ze swoimi schorzeniami układu oddechowego?</w:t>
      </w:r>
    </w:p>
    <w:p w14:paraId="54C825EC" w14:textId="77777777" w:rsidR="00AD3466" w:rsidRPr="00EE008E" w:rsidRDefault="00AD3466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13F5D501" w14:textId="0C19683D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 xml:space="preserve"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</w:t>
      </w:r>
      <w:r w:rsidRPr="00EE008E">
        <w:rPr>
          <w:rFonts w:asciiTheme="majorHAnsi" w:hAnsiTheme="majorHAnsi" w:cstheme="majorHAnsi"/>
        </w:rPr>
        <w:lastRenderedPageBreak/>
        <w:t>koalescencji kropelki łączą się ze sobą, co skutecznie przeciwdziała wytwarzaniu aerozolu. Z solanki paruje tylko woda zatężając solankę do roztworu nasyconego.</w:t>
      </w:r>
    </w:p>
    <w:p w14:paraId="0732EDFB" w14:textId="77777777" w:rsidR="001F3440" w:rsidRPr="00EE008E" w:rsidRDefault="001F3440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4AD436C7" w14:textId="68F7FF3B" w:rsidR="00E04B37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Wokół tężni pracujących w obiegu zamkniętym nie ma żadnej atmosfery bogatej w aerozol solny czy inne tzw</w:t>
      </w:r>
      <w:r w:rsidR="00E04B37" w:rsidRPr="00EE008E">
        <w:rPr>
          <w:rFonts w:asciiTheme="majorHAnsi" w:hAnsiTheme="majorHAnsi" w:cstheme="majorHAnsi"/>
        </w:rPr>
        <w:t>.</w:t>
      </w:r>
      <w:r w:rsidRPr="00EE008E">
        <w:rPr>
          <w:rFonts w:asciiTheme="majorHAnsi" w:hAnsiTheme="majorHAnsi" w:cstheme="majorHAnsi"/>
        </w:rPr>
        <w:t xml:space="preserve"> mikroelementy.</w:t>
      </w:r>
    </w:p>
    <w:p w14:paraId="6A09FE48" w14:textId="77777777" w:rsidR="00E04B37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Na dowód można przytoczyć opinię wydaną przez rządową Agencja Oceny Technologii Medycznych odnośnie oddziaływania tężni solankowych. Opinia jest jednoznacznie negatywna. W uzasadnieniu czytamy, że nie ma żadnych badań ani dowodów na pozytywny wpływ na zdrowie tężni solankowych pracujących w obiegu zamkniętym solanki.</w:t>
      </w:r>
    </w:p>
    <w:p w14:paraId="5B48FDD6" w14:textId="77777777" w:rsidR="00E04B37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Konstrukcja taka stwarza zagrożenie epidemiologiczne. Woda w obiegu zamkniętym tworzy doskonałe warunki do namnażania drobnoustrojów, pleśni, grzybów, bakterii itp. i nie jest przeszkodą zawartość soli, jak niektórzy głoszą, dla przykładu gronkowiec złocisty wytrzymuje solankę o stężeniu 20%. Zasolone morza tętnią życiem. Zjawisko rozwoju mikroorganizmów obserwujemy np. w fontannach gdzie krąży woda w obiegu zamkniętym. Jest wiele bakterii pleśni i grzybów, które są słonolubne, tak jak wcześniej wymieniony gronkowiec złocisty. Źródłem są bakterie z powietrza oraz odchody ptaków i innych zwierząt w tym  bakterie kałowe.</w:t>
      </w:r>
    </w:p>
    <w:p w14:paraId="51E687A2" w14:textId="77777777" w:rsidR="00B00A4F" w:rsidRPr="00EE008E" w:rsidRDefault="00B00A4F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73EBDFD7" w14:textId="13EE2733" w:rsidR="00C241F7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Legionella, która wywołuje chorobę legionelozę. Legioneloza jest określana jako wieloukładowa choroba zakaźna </w:t>
      </w:r>
      <w:r w:rsidR="00A51612" w:rsidRPr="00EE008E">
        <w:rPr>
          <w:rFonts w:asciiTheme="majorHAnsi" w:hAnsiTheme="majorHAnsi" w:cstheme="majorHAnsi"/>
        </w:rPr>
        <w:br/>
      </w:r>
      <w:r w:rsidRPr="00EE008E">
        <w:rPr>
          <w:rFonts w:asciiTheme="majorHAnsi" w:hAnsiTheme="majorHAnsi" w:cstheme="majorHAnsi"/>
        </w:rPr>
        <w:t>o zróżnicowanej symptomatologii.</w:t>
      </w:r>
      <w:r w:rsidR="00A51612" w:rsidRPr="00EE008E">
        <w:rPr>
          <w:rFonts w:asciiTheme="majorHAnsi" w:hAnsiTheme="majorHAnsi" w:cstheme="majorHAnsi"/>
        </w:rPr>
        <w:t xml:space="preserve"> </w:t>
      </w:r>
      <w:r w:rsidRPr="00EE008E">
        <w:rPr>
          <w:rFonts w:asciiTheme="majorHAnsi" w:hAnsiTheme="majorHAnsi" w:cstheme="majorHAnsi"/>
        </w:rPr>
        <w:t>Najlepiej poznane, z uwagi na zagrożenie życia, jest zapalenie płuc.</w:t>
      </w:r>
      <w:r w:rsidR="00A51612" w:rsidRPr="00EE008E">
        <w:rPr>
          <w:rFonts w:asciiTheme="majorHAnsi" w:hAnsiTheme="majorHAnsi" w:cstheme="majorHAnsi"/>
        </w:rPr>
        <w:t xml:space="preserve"> </w:t>
      </w:r>
      <w:r w:rsidRPr="00EE008E">
        <w:rPr>
          <w:rFonts w:asciiTheme="majorHAnsi" w:hAnsiTheme="majorHAnsi" w:cstheme="majorHAnsi"/>
        </w:rPr>
        <w:t>Inną, znaną postacią legionelozy jest gorączka Pontiac, którą część specjalistów uważa za alergiczną odpowiedź organizmu na infekcję pałeczkami Legionella.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</w:t>
      </w:r>
    </w:p>
    <w:p w14:paraId="0C692166" w14:textId="77777777" w:rsidR="007761AE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Skażenie powietrza w okolicy tężni solankowej może być wynikiem kolonizacji przez bakterie Legionella w instalacji, brak możliwości dezynfekcji zbiornika oraz gałązek i konstrukcji drewnianej tężni solankowej. Zanieczyszczenia mikrobiologiczne pochodzące od zwierząt, ptaki, psy, koty itp. przez co solanka może podlegać skażeniu fekalnemu mikroorganizmami obecnymi w odchodach zwierzęcych miedzy innymi: E.coli, enterokoki jak również w wodzie mogą być obecne wirusy (enterowirusy, norowirus) oraz pierwotniaki pasożytnicze (Giardia, Cryptosporidium).</w:t>
      </w:r>
    </w:p>
    <w:p w14:paraId="1A26C713" w14:textId="77777777" w:rsidR="007761AE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W ostatnim czasie można zaobserwować w projektach zastosowanie lamp UV na obiegu solanki między zbiornikiem a konstrukcją tężni solankowej.</w:t>
      </w:r>
    </w:p>
    <w:p w14:paraId="1A9A18B0" w14:textId="77777777" w:rsidR="007761AE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</w:t>
      </w:r>
      <w:r w:rsidRPr="00EE008E">
        <w:rPr>
          <w:rFonts w:asciiTheme="majorHAnsi" w:hAnsiTheme="majorHAnsi" w:cstheme="majorHAnsi"/>
        </w:rPr>
        <w:lastRenderedPageBreak/>
        <w:t>produkcji soli konsumpcyjnej w XIX</w:t>
      </w:r>
      <w:r w:rsidR="007761AE" w:rsidRPr="00EE008E">
        <w:rPr>
          <w:rFonts w:asciiTheme="majorHAnsi" w:hAnsiTheme="majorHAnsi" w:cstheme="majorHAnsi"/>
        </w:rPr>
        <w:t xml:space="preserve"> </w:t>
      </w:r>
      <w:r w:rsidRPr="00EE008E">
        <w:rPr>
          <w:rFonts w:asciiTheme="majorHAnsi" w:hAnsiTheme="majorHAnsi" w:cstheme="majorHAnsi"/>
        </w:rPr>
        <w:t>w. Zainfekowaną konstrukcję trzeba wówczas wymienić, co stwierdził wieloletni konserwator tężni w Ciechocinku w odpowiedzi na zadane mu pytanie.</w:t>
      </w:r>
    </w:p>
    <w:p w14:paraId="7CE77913" w14:textId="56ADDE4B" w:rsidR="00AD3466" w:rsidRPr="00EE008E" w:rsidRDefault="00AD3466" w:rsidP="00EE008E">
      <w:pPr>
        <w:jc w:val="both"/>
        <w:rPr>
          <w:rFonts w:asciiTheme="majorHAnsi" w:eastAsia="Calibri" w:hAnsiTheme="majorHAnsi" w:cstheme="majorHAnsi"/>
          <w:lang w:val="pl-PL"/>
        </w:rPr>
      </w:pPr>
      <w:r w:rsidRPr="00EE008E">
        <w:rPr>
          <w:rFonts w:asciiTheme="majorHAnsi" w:eastAsia="Calibri" w:hAnsiTheme="majorHAnsi" w:cstheme="majorHAnsi"/>
          <w:lang w:val="pl-PL"/>
        </w:rPr>
        <w:t xml:space="preserve">Gąszcz tarniny tworzy środowisko gdzie znajduje się pożywka i bakterie, to wszystko jest wilgotne, co stwarza idealne warunki do namnażania drobnoustrojów zarówno na powierzchni jaki i w strukturze drewna. Nie ma możliwości naświetlania promieniami UV zakamarków w gąszczu tarniny. </w:t>
      </w:r>
    </w:p>
    <w:p w14:paraId="63319A73" w14:textId="091CCC8D" w:rsidR="00D270AC" w:rsidRPr="00EE008E" w:rsidRDefault="00D270AC" w:rsidP="00EE008E">
      <w:pPr>
        <w:pStyle w:val="NormalnyWeb"/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EE008E">
        <w:rPr>
          <w:rFonts w:asciiTheme="majorHAnsi" w:hAnsiTheme="majorHAnsi" w:cstheme="majorHAnsi"/>
          <w:b/>
          <w:bCs/>
          <w:i/>
          <w:iCs/>
        </w:rPr>
        <w:t>2. Czy gwarancja wykonawcy obejmuje problem namnażania się drobnoustrojów, które potencjalnie mogą być groźne dla zdrowia osób korzystających z obiektu?</w:t>
      </w:r>
    </w:p>
    <w:p w14:paraId="676E291F" w14:textId="12A2C2ED" w:rsidR="00D270AC" w:rsidRPr="00EE008E" w:rsidRDefault="00D270AC" w:rsidP="00EE008E">
      <w:pPr>
        <w:pStyle w:val="NormalnyWeb"/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EE008E">
        <w:rPr>
          <w:rFonts w:asciiTheme="majorHAnsi" w:hAnsiTheme="majorHAnsi" w:cstheme="majorHAnsi"/>
          <w:b/>
          <w:bCs/>
          <w:i/>
          <w:iCs/>
        </w:rPr>
        <w:t>3. Kto poniesie koszty wymiany tarniny oraz kilkukrotnej wymiany solanki w ciągu roku Inwestor czy Wykonawca w ramach udzielonej gwarancji?</w:t>
      </w:r>
    </w:p>
    <w:p w14:paraId="4D81A5B7" w14:textId="77777777" w:rsidR="009F4C21" w:rsidRPr="00EE008E" w:rsidRDefault="00296D6A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T</w:t>
      </w:r>
      <w:r w:rsidR="00D11D51" w:rsidRPr="00EE008E">
        <w:rPr>
          <w:rFonts w:asciiTheme="majorHAnsi" w:hAnsiTheme="majorHAnsi" w:cstheme="majorHAnsi"/>
        </w:rPr>
        <w:t>rzeba jednoznacznie stwierdzić, że tężnie nie wytwarzają prozdrowotnej atmosfery. Należy traktować je jako atrakcję turystyczną zlokalizowaną w miejscowościach turystyczno-uzdrowiskowych</w:t>
      </w:r>
      <w:r w:rsidR="009F4C21" w:rsidRPr="00EE008E">
        <w:rPr>
          <w:rFonts w:asciiTheme="majorHAnsi" w:hAnsiTheme="majorHAnsi" w:cstheme="majorHAnsi"/>
        </w:rPr>
        <w:t>, które powinny być bezpieczne dla odwiedzających.</w:t>
      </w:r>
    </w:p>
    <w:p w14:paraId="786D83F8" w14:textId="77777777" w:rsidR="009F4C21" w:rsidRPr="00EE008E" w:rsidRDefault="009F4C2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784BEF6A" w14:textId="77777777" w:rsidR="007761AE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Wszelkie tzw. „zalety” tężni związane z obecnością wielu mikroelementów w strefie okołotężniowej należy traktować jako teksty marketingowe. Jest to na tyle oczywiste, że nie ma żadnych wiarygodnych badań potwierdzających obecność tych cudownych substancji w otwartej przestrzeni wokół tężni.</w:t>
      </w:r>
    </w:p>
    <w:p w14:paraId="2FE13AD9" w14:textId="77777777" w:rsidR="007761AE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14:paraId="7FBE9788" w14:textId="77777777" w:rsidR="00147E63" w:rsidRPr="00EE008E" w:rsidRDefault="00147E63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24FEDE47" w14:textId="127724B4" w:rsidR="001F3440" w:rsidRPr="00EE008E" w:rsidRDefault="00147E63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EE008E">
        <w:rPr>
          <w:rFonts w:asciiTheme="majorHAnsi" w:hAnsiTheme="majorHAnsi" w:cstheme="majorHAnsi"/>
          <w:b/>
          <w:bCs/>
          <w:i/>
          <w:iCs/>
        </w:rPr>
        <w:t>4</w:t>
      </w:r>
      <w:r w:rsidR="00D11D51" w:rsidRPr="00EE008E">
        <w:rPr>
          <w:rFonts w:asciiTheme="majorHAnsi" w:hAnsiTheme="majorHAnsi" w:cstheme="majorHAnsi"/>
          <w:b/>
          <w:bCs/>
          <w:i/>
          <w:iCs/>
        </w:rPr>
        <w:t>. Czy inwestor dopuszcza zmianę technologii solankowej (tężnia solankowa) na suchy aerozol solny (tężnia solna)?</w:t>
      </w:r>
    </w:p>
    <w:p w14:paraId="44A2ED87" w14:textId="77777777" w:rsidR="001F3440" w:rsidRPr="00EE008E" w:rsidRDefault="001F3440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231147B0" w14:textId="77777777" w:rsidR="001F3440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Niezwykle duża skuteczność oparta jest na prostym mechanizmie poprzez oddziaływanie bezpośrednio na błonę śluzową dróg oddechowych. Mikrocząsteczki o wielkości 1-5µm docierają do najgłębszych partii drzewa oskrzelowego gdzie w procesie sekretolizy rozrzedzają śluz oraz wspomagają proces fagocytozy niwelując stan zapalny.</w:t>
      </w:r>
    </w:p>
    <w:p w14:paraId="70696CB3" w14:textId="3486665A" w:rsidR="00D11D51" w:rsidRPr="00EE008E" w:rsidRDefault="00D11D51" w:rsidP="00EE008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14:paraId="2A37AA9A" w14:textId="77777777" w:rsidR="004636A1" w:rsidRPr="00EE008E" w:rsidRDefault="004636A1" w:rsidP="00EE008E">
      <w:pPr>
        <w:jc w:val="both"/>
        <w:rPr>
          <w:rFonts w:asciiTheme="majorHAnsi" w:hAnsiTheme="majorHAnsi" w:cstheme="majorHAnsi"/>
          <w:b/>
          <w:bCs/>
        </w:rPr>
      </w:pPr>
    </w:p>
    <w:p w14:paraId="7CA63435" w14:textId="688750E7" w:rsidR="00D42006" w:rsidRPr="00EE008E" w:rsidRDefault="00D42006" w:rsidP="00EE008E">
      <w:pPr>
        <w:jc w:val="both"/>
        <w:rPr>
          <w:rFonts w:asciiTheme="majorHAnsi" w:hAnsiTheme="majorHAnsi" w:cstheme="majorHAnsi"/>
          <w:b/>
          <w:bCs/>
        </w:rPr>
      </w:pPr>
      <w:r w:rsidRPr="00EE008E">
        <w:rPr>
          <w:rFonts w:asciiTheme="majorHAnsi" w:hAnsiTheme="majorHAnsi" w:cstheme="majorHAnsi"/>
          <w:b/>
          <w:bCs/>
        </w:rPr>
        <w:t>Odpowiedź 1:</w:t>
      </w:r>
    </w:p>
    <w:p w14:paraId="0290CC6F" w14:textId="3F0A9EBF" w:rsidR="00297AEE" w:rsidRPr="00EE008E" w:rsidRDefault="00147E63" w:rsidP="00EE008E">
      <w:pPr>
        <w:jc w:val="both"/>
        <w:rPr>
          <w:rFonts w:asciiTheme="majorHAnsi" w:hAnsiTheme="majorHAnsi" w:cstheme="majorHAnsi"/>
        </w:rPr>
      </w:pPr>
      <w:r w:rsidRPr="00EE008E">
        <w:rPr>
          <w:rFonts w:asciiTheme="majorHAnsi" w:hAnsiTheme="majorHAnsi" w:cstheme="majorHAnsi"/>
        </w:rPr>
        <w:t>Technologia polega na rozbijaniu kropli o tarninę i rozprowadzaniu przy udziale wiatru. Najwięcej aerozolu w strefie okołotężniowej znajduje się w dni słoneczne przy umiarkowanym wietrze. Należy zauważyć, że t</w:t>
      </w:r>
      <w:r w:rsidR="00297AEE" w:rsidRPr="00EE008E">
        <w:rPr>
          <w:rFonts w:asciiTheme="majorHAnsi" w:hAnsiTheme="majorHAnsi" w:cstheme="majorHAnsi"/>
        </w:rPr>
        <w:t>ężnia solankowa</w:t>
      </w:r>
      <w:r w:rsidR="00265042" w:rsidRPr="00EE008E">
        <w:rPr>
          <w:rFonts w:asciiTheme="majorHAnsi" w:hAnsiTheme="majorHAnsi" w:cstheme="majorHAnsi"/>
        </w:rPr>
        <w:t>,</w:t>
      </w:r>
      <w:r w:rsidR="00297AEE" w:rsidRPr="00EE008E">
        <w:rPr>
          <w:rFonts w:asciiTheme="majorHAnsi" w:hAnsiTheme="majorHAnsi" w:cstheme="majorHAnsi"/>
        </w:rPr>
        <w:t xml:space="preserve"> będąca przedmiotem postepowania</w:t>
      </w:r>
      <w:r w:rsidR="00265042" w:rsidRPr="00EE008E">
        <w:rPr>
          <w:rFonts w:asciiTheme="majorHAnsi" w:hAnsiTheme="majorHAnsi" w:cstheme="majorHAnsi"/>
        </w:rPr>
        <w:t>,</w:t>
      </w:r>
      <w:r w:rsidR="00297AEE" w:rsidRPr="00EE008E">
        <w:rPr>
          <w:rFonts w:asciiTheme="majorHAnsi" w:hAnsiTheme="majorHAnsi" w:cstheme="majorHAnsi"/>
        </w:rPr>
        <w:t xml:space="preserve"> będzie obiektem rekreacyjnym</w:t>
      </w:r>
      <w:r w:rsidR="002216DE" w:rsidRPr="00EE008E">
        <w:rPr>
          <w:rFonts w:asciiTheme="majorHAnsi" w:hAnsiTheme="majorHAnsi" w:cstheme="majorHAnsi"/>
        </w:rPr>
        <w:t>,</w:t>
      </w:r>
      <w:r w:rsidR="00297AEE" w:rsidRPr="00EE008E">
        <w:rPr>
          <w:rFonts w:asciiTheme="majorHAnsi" w:hAnsiTheme="majorHAnsi" w:cstheme="majorHAnsi"/>
        </w:rPr>
        <w:t xml:space="preserve"> a nie uzdrowiskowym. Obiekt tężni, który zostanie wybudowany w ramach zamówienia nie będzie zlokalizowany w strefie ochrony uzdrowiskowej, tym samym nie będzie wykorzystywany jako obiekt pełniący funkcję lecznictwa uzdrowiskowego.</w:t>
      </w:r>
    </w:p>
    <w:p w14:paraId="6E606BF8" w14:textId="77777777" w:rsidR="00297AEE" w:rsidRPr="00EE008E" w:rsidRDefault="00297AEE" w:rsidP="00EE008E">
      <w:pPr>
        <w:jc w:val="both"/>
        <w:rPr>
          <w:rFonts w:asciiTheme="majorHAnsi" w:hAnsiTheme="majorHAnsi" w:cstheme="majorHAnsi"/>
          <w:b/>
          <w:bCs/>
        </w:rPr>
      </w:pPr>
    </w:p>
    <w:p w14:paraId="36416122" w14:textId="59D07D77" w:rsidR="004636A1" w:rsidRPr="00EE008E" w:rsidRDefault="004636A1" w:rsidP="00EE008E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EE008E">
        <w:rPr>
          <w:rFonts w:asciiTheme="majorHAnsi" w:eastAsia="Times New Roman" w:hAnsiTheme="majorHAnsi" w:cstheme="majorHAnsi"/>
          <w:b/>
          <w:bCs/>
        </w:rPr>
        <w:t xml:space="preserve">Odpowiedź </w:t>
      </w:r>
      <w:r w:rsidR="00147E63" w:rsidRPr="00EE008E">
        <w:rPr>
          <w:rFonts w:asciiTheme="majorHAnsi" w:eastAsia="Times New Roman" w:hAnsiTheme="majorHAnsi" w:cstheme="majorHAnsi"/>
          <w:b/>
          <w:bCs/>
        </w:rPr>
        <w:t>2</w:t>
      </w:r>
      <w:r w:rsidRPr="00EE008E">
        <w:rPr>
          <w:rFonts w:asciiTheme="majorHAnsi" w:eastAsia="Times New Roman" w:hAnsiTheme="majorHAnsi" w:cstheme="majorHAnsi"/>
          <w:b/>
          <w:bCs/>
        </w:rPr>
        <w:t>:</w:t>
      </w:r>
    </w:p>
    <w:p w14:paraId="0F2DEFB7" w14:textId="038899B5" w:rsidR="00147E63" w:rsidRPr="00EE008E" w:rsidRDefault="00EE008E" w:rsidP="00EE008E">
      <w:pPr>
        <w:ind w:right="-20"/>
        <w:jc w:val="both"/>
        <w:rPr>
          <w:rFonts w:asciiTheme="majorHAnsi" w:eastAsia="Times New Roman" w:hAnsiTheme="majorHAnsi" w:cstheme="majorHAnsi"/>
        </w:rPr>
      </w:pPr>
      <w:r w:rsidRPr="00EE008E">
        <w:rPr>
          <w:rFonts w:asciiTheme="majorHAnsi" w:eastAsia="Times New Roman" w:hAnsiTheme="majorHAnsi" w:cstheme="majorHAnsi"/>
        </w:rPr>
        <w:t xml:space="preserve">Gwarancja nie obejmuje kwestii, o które pyta </w:t>
      </w:r>
      <w:r w:rsidRPr="00EE008E">
        <w:rPr>
          <w:rFonts w:asciiTheme="majorHAnsi" w:eastAsia="Times New Roman" w:hAnsiTheme="majorHAnsi" w:cstheme="majorHAnsi"/>
        </w:rPr>
        <w:t>w</w:t>
      </w:r>
      <w:r w:rsidRPr="00EE008E">
        <w:rPr>
          <w:rFonts w:asciiTheme="majorHAnsi" w:eastAsia="Times New Roman" w:hAnsiTheme="majorHAnsi" w:cstheme="majorHAnsi"/>
        </w:rPr>
        <w:t>ykonawca.</w:t>
      </w:r>
    </w:p>
    <w:p w14:paraId="441915AD" w14:textId="77777777" w:rsidR="00EE008E" w:rsidRPr="00EE008E" w:rsidRDefault="00EE008E" w:rsidP="00EE008E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</w:p>
    <w:p w14:paraId="37D8270D" w14:textId="69217883" w:rsidR="004636A1" w:rsidRPr="00EE008E" w:rsidRDefault="004636A1" w:rsidP="00EE008E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EE008E">
        <w:rPr>
          <w:rFonts w:asciiTheme="majorHAnsi" w:eastAsia="Times New Roman" w:hAnsiTheme="majorHAnsi" w:cstheme="majorHAnsi"/>
          <w:b/>
          <w:bCs/>
        </w:rPr>
        <w:t xml:space="preserve">Odpowiedź </w:t>
      </w:r>
      <w:r w:rsidR="00147E63" w:rsidRPr="00EE008E">
        <w:rPr>
          <w:rFonts w:asciiTheme="majorHAnsi" w:eastAsia="Times New Roman" w:hAnsiTheme="majorHAnsi" w:cstheme="majorHAnsi"/>
          <w:b/>
          <w:bCs/>
        </w:rPr>
        <w:t>3</w:t>
      </w:r>
      <w:r w:rsidRPr="00EE008E">
        <w:rPr>
          <w:rFonts w:asciiTheme="majorHAnsi" w:eastAsia="Times New Roman" w:hAnsiTheme="majorHAnsi" w:cstheme="majorHAnsi"/>
          <w:b/>
          <w:bCs/>
        </w:rPr>
        <w:t>:</w:t>
      </w:r>
    </w:p>
    <w:p w14:paraId="36E76AFA" w14:textId="62ED5CAD" w:rsidR="00B4279D" w:rsidRPr="00EE008E" w:rsidRDefault="00EE008E" w:rsidP="00EE008E">
      <w:pPr>
        <w:ind w:right="-20"/>
        <w:jc w:val="both"/>
        <w:rPr>
          <w:rFonts w:asciiTheme="majorHAnsi" w:eastAsia="Times New Roman" w:hAnsiTheme="majorHAnsi" w:cstheme="majorHAnsi"/>
        </w:rPr>
      </w:pPr>
      <w:r w:rsidRPr="00EE008E">
        <w:rPr>
          <w:rFonts w:asciiTheme="majorHAnsi" w:eastAsia="Times New Roman" w:hAnsiTheme="majorHAnsi" w:cstheme="majorHAnsi"/>
        </w:rPr>
        <w:t>Inwestor ponosi koszty związane z bieżącym utrzymaniem tężni solankowej.</w:t>
      </w:r>
    </w:p>
    <w:p w14:paraId="4B48894D" w14:textId="77777777" w:rsidR="00EE008E" w:rsidRPr="00EE008E" w:rsidRDefault="00EE008E" w:rsidP="00EE008E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</w:p>
    <w:p w14:paraId="0D5AB441" w14:textId="47094FD5" w:rsidR="00D11D51" w:rsidRPr="00EE008E" w:rsidRDefault="00D11D51" w:rsidP="00EE008E">
      <w:pPr>
        <w:ind w:right="-20"/>
        <w:jc w:val="both"/>
        <w:rPr>
          <w:rFonts w:asciiTheme="majorHAnsi" w:eastAsia="Times New Roman" w:hAnsiTheme="majorHAnsi" w:cstheme="majorHAnsi"/>
          <w:b/>
          <w:bCs/>
        </w:rPr>
      </w:pPr>
      <w:r w:rsidRPr="00EE008E">
        <w:rPr>
          <w:rFonts w:asciiTheme="majorHAnsi" w:eastAsia="Times New Roman" w:hAnsiTheme="majorHAnsi" w:cstheme="majorHAnsi"/>
          <w:b/>
          <w:bCs/>
        </w:rPr>
        <w:t xml:space="preserve">Odpowiedź </w:t>
      </w:r>
      <w:r w:rsidR="00147E63" w:rsidRPr="00EE008E">
        <w:rPr>
          <w:rFonts w:asciiTheme="majorHAnsi" w:eastAsia="Times New Roman" w:hAnsiTheme="majorHAnsi" w:cstheme="majorHAnsi"/>
          <w:b/>
          <w:bCs/>
        </w:rPr>
        <w:t>4</w:t>
      </w:r>
      <w:r w:rsidRPr="00EE008E">
        <w:rPr>
          <w:rFonts w:asciiTheme="majorHAnsi" w:eastAsia="Times New Roman" w:hAnsiTheme="majorHAnsi" w:cstheme="majorHAnsi"/>
          <w:b/>
          <w:bCs/>
        </w:rPr>
        <w:t>:</w:t>
      </w:r>
    </w:p>
    <w:p w14:paraId="51D2F86F" w14:textId="4144DDCB" w:rsidR="00B4279D" w:rsidRPr="00EE008E" w:rsidRDefault="00B4279D" w:rsidP="00EE008E">
      <w:pPr>
        <w:ind w:right="-20"/>
        <w:jc w:val="both"/>
        <w:rPr>
          <w:rFonts w:asciiTheme="majorHAnsi" w:eastAsia="Times New Roman" w:hAnsiTheme="majorHAnsi" w:cstheme="majorHAnsi"/>
        </w:rPr>
      </w:pPr>
      <w:r w:rsidRPr="00EE008E">
        <w:rPr>
          <w:rFonts w:asciiTheme="majorHAnsi" w:eastAsia="Times New Roman" w:hAnsiTheme="majorHAnsi" w:cstheme="majorHAnsi"/>
        </w:rPr>
        <w:t>Inwestor nie dopuszcza zmiany technologii solankowej na inną niż opisaną w opublikowanym postępowaniu.</w:t>
      </w:r>
    </w:p>
    <w:p w14:paraId="29135E7C" w14:textId="77777777" w:rsidR="00B4279D" w:rsidRPr="00EE008E" w:rsidRDefault="00B4279D" w:rsidP="00EE008E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1E0E7C2F" w14:textId="77777777" w:rsidR="004075F7" w:rsidRPr="00EE008E" w:rsidRDefault="004075F7" w:rsidP="00EE008E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46ABE4BF" w14:textId="5CBEECE5" w:rsidR="00A350C6" w:rsidRPr="00EE008E" w:rsidRDefault="00226646" w:rsidP="00EE008E">
      <w:pPr>
        <w:ind w:right="-20"/>
        <w:jc w:val="both"/>
        <w:rPr>
          <w:rFonts w:asciiTheme="majorHAnsi" w:eastAsia="Times New Roman" w:hAnsiTheme="majorHAnsi" w:cstheme="majorHAnsi"/>
        </w:rPr>
      </w:pPr>
      <w:r w:rsidRPr="00EE008E">
        <w:rPr>
          <w:rFonts w:asciiTheme="majorHAnsi" w:eastAsia="Times New Roman" w:hAnsiTheme="majorHAnsi" w:cstheme="majorHAnsi"/>
        </w:rPr>
        <w:t>Powyższa treść staje się integralną częścią specyfikacji i zostaje zamieszczona na stronie internetowej prowadzonego postępowania.</w:t>
      </w:r>
    </w:p>
    <w:p w14:paraId="34DCF4DC" w14:textId="77777777" w:rsidR="00F81851" w:rsidRPr="001F3440" w:rsidRDefault="00F81851" w:rsidP="001F3440">
      <w:pPr>
        <w:ind w:right="-20"/>
        <w:jc w:val="both"/>
        <w:rPr>
          <w:rFonts w:asciiTheme="majorHAnsi" w:eastAsia="Times New Roman" w:hAnsiTheme="majorHAnsi" w:cstheme="majorHAnsi"/>
        </w:rPr>
      </w:pPr>
    </w:p>
    <w:p w14:paraId="1F01AD93" w14:textId="77777777" w:rsidR="00102DF0" w:rsidRPr="001F3440" w:rsidRDefault="00102DF0" w:rsidP="001F3440">
      <w:pPr>
        <w:spacing w:after="160"/>
        <w:ind w:right="-20"/>
        <w:jc w:val="both"/>
        <w:rPr>
          <w:rFonts w:asciiTheme="majorHAnsi" w:eastAsia="Calibri" w:hAnsiTheme="majorHAnsi" w:cstheme="majorHAnsi"/>
          <w:lang w:val="pl-PL" w:eastAsia="en-US"/>
        </w:rPr>
      </w:pPr>
    </w:p>
    <w:p w14:paraId="35647FCB" w14:textId="67A72306" w:rsidR="00A074A6" w:rsidRPr="001F3440" w:rsidRDefault="00A074A6" w:rsidP="00EE008E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3B374E" w:rsidRPr="001F3440">
        <w:rPr>
          <w:rFonts w:asciiTheme="majorHAnsi" w:eastAsia="Calibri" w:hAnsiTheme="majorHAnsi" w:cstheme="majorHAnsi"/>
          <w:lang w:val="pl-PL" w:eastAsia="en-US"/>
        </w:rPr>
        <w:tab/>
      </w:r>
      <w:r w:rsidR="004A34C5">
        <w:rPr>
          <w:rFonts w:asciiTheme="majorHAnsi" w:eastAsia="Calibri" w:hAnsiTheme="majorHAnsi" w:cstheme="majorHAnsi"/>
          <w:lang w:val="pl-PL" w:eastAsia="en-US"/>
        </w:rPr>
        <w:t xml:space="preserve">     </w:t>
      </w:r>
      <w:r w:rsidR="00766935" w:rsidRPr="001F3440">
        <w:rPr>
          <w:rFonts w:asciiTheme="majorHAnsi" w:eastAsia="Calibri" w:hAnsiTheme="majorHAnsi" w:cstheme="majorHAnsi"/>
          <w:lang w:val="pl-PL" w:eastAsia="en-US"/>
        </w:rPr>
        <w:t>S</w:t>
      </w:r>
      <w:r w:rsidRPr="001F3440">
        <w:rPr>
          <w:rFonts w:asciiTheme="majorHAnsi" w:eastAsia="Calibri" w:hAnsiTheme="majorHAnsi" w:cstheme="majorHAnsi"/>
          <w:lang w:val="pl-PL" w:eastAsia="en-US"/>
        </w:rPr>
        <w:t>TAROSTA</w:t>
      </w:r>
    </w:p>
    <w:p w14:paraId="06A762B2" w14:textId="3CBD3F3E" w:rsidR="00D74469" w:rsidRPr="001F3440" w:rsidRDefault="00A074A6" w:rsidP="00EE008E">
      <w:pPr>
        <w:spacing w:after="160" w:line="480" w:lineRule="auto"/>
        <w:rPr>
          <w:rFonts w:asciiTheme="majorHAnsi" w:eastAsia="Calibri" w:hAnsiTheme="majorHAnsi" w:cstheme="majorHAnsi"/>
          <w:lang w:val="pl-PL" w:eastAsia="en-US"/>
        </w:rPr>
      </w:pP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Pr="001F3440">
        <w:rPr>
          <w:rFonts w:asciiTheme="majorHAnsi" w:eastAsia="Calibri" w:hAnsiTheme="majorHAnsi" w:cstheme="majorHAnsi"/>
          <w:lang w:val="pl-PL" w:eastAsia="en-US"/>
        </w:rPr>
        <w:tab/>
      </w:r>
      <w:r w:rsidR="00042F79" w:rsidRPr="001F3440">
        <w:rPr>
          <w:rFonts w:asciiTheme="majorHAnsi" w:eastAsia="Calibri" w:hAnsiTheme="majorHAnsi" w:cstheme="majorHAnsi"/>
          <w:lang w:val="pl-PL" w:eastAsia="en-US"/>
        </w:rPr>
        <w:t>T</w:t>
      </w:r>
      <w:r w:rsidR="004A34C5">
        <w:rPr>
          <w:rFonts w:asciiTheme="majorHAnsi" w:eastAsia="Calibri" w:hAnsiTheme="majorHAnsi" w:cstheme="majorHAnsi"/>
          <w:lang w:val="pl-PL" w:eastAsia="en-US"/>
        </w:rPr>
        <w:t>ADEUSZ SOBOL</w:t>
      </w:r>
    </w:p>
    <w:sectPr w:rsidR="00D74469" w:rsidRPr="001F344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F8F0" w14:textId="77777777" w:rsidR="00434CA6" w:rsidRDefault="00434CA6">
      <w:pPr>
        <w:spacing w:line="240" w:lineRule="auto"/>
      </w:pPr>
      <w:r>
        <w:separator/>
      </w:r>
    </w:p>
  </w:endnote>
  <w:endnote w:type="continuationSeparator" w:id="0">
    <w:p w14:paraId="14E14E49" w14:textId="77777777" w:rsidR="00434CA6" w:rsidRDefault="0043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ED35" w14:textId="77777777" w:rsidR="00434CA6" w:rsidRDefault="00434CA6">
      <w:pPr>
        <w:spacing w:line="240" w:lineRule="auto"/>
      </w:pPr>
      <w:r>
        <w:separator/>
      </w:r>
    </w:p>
  </w:footnote>
  <w:footnote w:type="continuationSeparator" w:id="0">
    <w:p w14:paraId="46B9775A" w14:textId="77777777" w:rsidR="00434CA6" w:rsidRDefault="0043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4A9B7264" w:rsidR="00654B8B" w:rsidRDefault="00000000">
    <w:sdt>
      <w:sdtPr>
        <w:id w:val="-1394265041"/>
        <w:docPartObj>
          <w:docPartGallery w:val="Page Numbers (Margins)"/>
          <w:docPartUnique/>
        </w:docPartObj>
      </w:sdtPr>
      <w:sdtContent>
        <w:r w:rsidR="00414F7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D0ACDA5" wp14:editId="3C92637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830328423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FFB2C" w14:textId="77777777" w:rsidR="00414F72" w:rsidRDefault="00414F7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0ACDA5" id="Prostokąt 1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27FFB2C" w14:textId="77777777" w:rsidR="00414F72" w:rsidRDefault="00414F7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666"/>
    <w:multiLevelType w:val="hybridMultilevel"/>
    <w:tmpl w:val="469C49B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139D11D1"/>
    <w:multiLevelType w:val="hybridMultilevel"/>
    <w:tmpl w:val="6B1EF59A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8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9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9"/>
  </w:num>
  <w:num w:numId="4" w16cid:durableId="767694574">
    <w:abstractNumId w:val="12"/>
  </w:num>
  <w:num w:numId="5" w16cid:durableId="1840457850">
    <w:abstractNumId w:val="4"/>
  </w:num>
  <w:num w:numId="6" w16cid:durableId="274142189">
    <w:abstractNumId w:val="0"/>
  </w:num>
  <w:num w:numId="7" w16cid:durableId="351733842">
    <w:abstractNumId w:val="16"/>
  </w:num>
  <w:num w:numId="8" w16cid:durableId="1915701601">
    <w:abstractNumId w:val="14"/>
  </w:num>
  <w:num w:numId="9" w16cid:durableId="1350179867">
    <w:abstractNumId w:val="7"/>
  </w:num>
  <w:num w:numId="10" w16cid:durableId="1773089889">
    <w:abstractNumId w:val="13"/>
  </w:num>
  <w:num w:numId="11" w16cid:durableId="608051522">
    <w:abstractNumId w:val="8"/>
  </w:num>
  <w:num w:numId="12" w16cid:durableId="644429375">
    <w:abstractNumId w:val="5"/>
  </w:num>
  <w:num w:numId="13" w16cid:durableId="1377075107">
    <w:abstractNumId w:val="2"/>
  </w:num>
  <w:num w:numId="14" w16cid:durableId="1405295041">
    <w:abstractNumId w:val="6"/>
  </w:num>
  <w:num w:numId="15" w16cid:durableId="1908103898">
    <w:abstractNumId w:val="10"/>
  </w:num>
  <w:num w:numId="16" w16cid:durableId="840851081">
    <w:abstractNumId w:val="1"/>
  </w:num>
  <w:num w:numId="17" w16cid:durableId="39316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2DF0"/>
    <w:rsid w:val="00104129"/>
    <w:rsid w:val="0013494F"/>
    <w:rsid w:val="00147E63"/>
    <w:rsid w:val="001534F8"/>
    <w:rsid w:val="0017494A"/>
    <w:rsid w:val="001862D7"/>
    <w:rsid w:val="001D5CEB"/>
    <w:rsid w:val="001F3440"/>
    <w:rsid w:val="00210227"/>
    <w:rsid w:val="002216DE"/>
    <w:rsid w:val="0022645E"/>
    <w:rsid w:val="00226646"/>
    <w:rsid w:val="00265042"/>
    <w:rsid w:val="0028422C"/>
    <w:rsid w:val="00292CE5"/>
    <w:rsid w:val="00296D6A"/>
    <w:rsid w:val="00297AEE"/>
    <w:rsid w:val="002B263F"/>
    <w:rsid w:val="002D3022"/>
    <w:rsid w:val="002E01EA"/>
    <w:rsid w:val="003133CA"/>
    <w:rsid w:val="003422F4"/>
    <w:rsid w:val="00356E97"/>
    <w:rsid w:val="003709A4"/>
    <w:rsid w:val="003A2CB5"/>
    <w:rsid w:val="003A6F82"/>
    <w:rsid w:val="003B374E"/>
    <w:rsid w:val="003B5594"/>
    <w:rsid w:val="004075F7"/>
    <w:rsid w:val="00414F72"/>
    <w:rsid w:val="00434CA6"/>
    <w:rsid w:val="004454BB"/>
    <w:rsid w:val="004636A1"/>
    <w:rsid w:val="00472BAD"/>
    <w:rsid w:val="004A34C5"/>
    <w:rsid w:val="004B4CF0"/>
    <w:rsid w:val="004C5CB7"/>
    <w:rsid w:val="004D3E9D"/>
    <w:rsid w:val="004D7F43"/>
    <w:rsid w:val="004F0EDD"/>
    <w:rsid w:val="00515B64"/>
    <w:rsid w:val="00516D7A"/>
    <w:rsid w:val="005214E9"/>
    <w:rsid w:val="005276D8"/>
    <w:rsid w:val="005553CF"/>
    <w:rsid w:val="005733AC"/>
    <w:rsid w:val="00575151"/>
    <w:rsid w:val="005C4C8B"/>
    <w:rsid w:val="005C7352"/>
    <w:rsid w:val="006052A6"/>
    <w:rsid w:val="00607171"/>
    <w:rsid w:val="00607A8B"/>
    <w:rsid w:val="00622142"/>
    <w:rsid w:val="00654B8B"/>
    <w:rsid w:val="00680D94"/>
    <w:rsid w:val="0069287D"/>
    <w:rsid w:val="006C5172"/>
    <w:rsid w:val="00756A00"/>
    <w:rsid w:val="00761E21"/>
    <w:rsid w:val="00762226"/>
    <w:rsid w:val="00766935"/>
    <w:rsid w:val="007761AE"/>
    <w:rsid w:val="00786F14"/>
    <w:rsid w:val="00805885"/>
    <w:rsid w:val="0081556B"/>
    <w:rsid w:val="0082401F"/>
    <w:rsid w:val="0083700F"/>
    <w:rsid w:val="00874884"/>
    <w:rsid w:val="00897D97"/>
    <w:rsid w:val="008B1566"/>
    <w:rsid w:val="008C234E"/>
    <w:rsid w:val="008F1BA0"/>
    <w:rsid w:val="00960DE2"/>
    <w:rsid w:val="00976D57"/>
    <w:rsid w:val="00981C91"/>
    <w:rsid w:val="009B660C"/>
    <w:rsid w:val="009F4C21"/>
    <w:rsid w:val="00A074A6"/>
    <w:rsid w:val="00A22BF2"/>
    <w:rsid w:val="00A350C6"/>
    <w:rsid w:val="00A44B13"/>
    <w:rsid w:val="00A51612"/>
    <w:rsid w:val="00A8473F"/>
    <w:rsid w:val="00A9335E"/>
    <w:rsid w:val="00AA29DA"/>
    <w:rsid w:val="00AB409E"/>
    <w:rsid w:val="00AD108A"/>
    <w:rsid w:val="00AD2401"/>
    <w:rsid w:val="00AD3466"/>
    <w:rsid w:val="00B00A4F"/>
    <w:rsid w:val="00B03973"/>
    <w:rsid w:val="00B05C80"/>
    <w:rsid w:val="00B11168"/>
    <w:rsid w:val="00B4279D"/>
    <w:rsid w:val="00B60374"/>
    <w:rsid w:val="00BA47C9"/>
    <w:rsid w:val="00C01498"/>
    <w:rsid w:val="00C241F7"/>
    <w:rsid w:val="00C2460E"/>
    <w:rsid w:val="00C4356F"/>
    <w:rsid w:val="00C4460E"/>
    <w:rsid w:val="00C46E67"/>
    <w:rsid w:val="00C56E67"/>
    <w:rsid w:val="00C7312D"/>
    <w:rsid w:val="00CB0D06"/>
    <w:rsid w:val="00D04312"/>
    <w:rsid w:val="00D11D51"/>
    <w:rsid w:val="00D21B45"/>
    <w:rsid w:val="00D24C38"/>
    <w:rsid w:val="00D270AC"/>
    <w:rsid w:val="00D3396F"/>
    <w:rsid w:val="00D42006"/>
    <w:rsid w:val="00D74469"/>
    <w:rsid w:val="00D82273"/>
    <w:rsid w:val="00D93DFF"/>
    <w:rsid w:val="00DD0BD8"/>
    <w:rsid w:val="00DD4784"/>
    <w:rsid w:val="00DE6E12"/>
    <w:rsid w:val="00DF69F9"/>
    <w:rsid w:val="00E01FD6"/>
    <w:rsid w:val="00E04B37"/>
    <w:rsid w:val="00E34BD1"/>
    <w:rsid w:val="00E625EB"/>
    <w:rsid w:val="00E71EC0"/>
    <w:rsid w:val="00E74D46"/>
    <w:rsid w:val="00EC0799"/>
    <w:rsid w:val="00EC6058"/>
    <w:rsid w:val="00EC68B2"/>
    <w:rsid w:val="00EE008E"/>
    <w:rsid w:val="00EF2EF7"/>
    <w:rsid w:val="00F15885"/>
    <w:rsid w:val="00F62B34"/>
    <w:rsid w:val="00F72EEE"/>
    <w:rsid w:val="00F81851"/>
    <w:rsid w:val="00F9173D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1D5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19</cp:revision>
  <cp:lastPrinted>2023-11-27T07:50:00Z</cp:lastPrinted>
  <dcterms:created xsi:type="dcterms:W3CDTF">2023-10-30T08:15:00Z</dcterms:created>
  <dcterms:modified xsi:type="dcterms:W3CDTF">2023-11-28T09:01:00Z</dcterms:modified>
</cp:coreProperties>
</file>